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CC70" w14:textId="77777777" w:rsidR="00B36212" w:rsidRPr="005F52E8" w:rsidRDefault="00DE184D" w:rsidP="00B36212">
      <w:pPr>
        <w:pStyle w:val="Header"/>
        <w:tabs>
          <w:tab w:val="left" w:pos="720"/>
        </w:tabs>
        <w:rPr>
          <w:rFonts w:ascii="Arial" w:hAnsi="Arial"/>
          <w:sz w:val="20"/>
          <w:szCs w:val="20"/>
          <w:lang w:val="fr-CA"/>
        </w:rPr>
      </w:pPr>
      <w:r w:rsidRPr="005F52E8">
        <w:rPr>
          <w:rFonts w:ascii="Ilisarniq Regular" w:hAnsi="Ilisarniq Regular"/>
          <w:noProof/>
          <w:sz w:val="20"/>
          <w:szCs w:val="20"/>
          <w:lang w:val="fr-CA"/>
        </w:rPr>
        <w:drawing>
          <wp:inline distT="0" distB="0" distL="0" distR="0" wp14:anchorId="6B4091E1" wp14:editId="2729677D">
            <wp:extent cx="3300095" cy="819150"/>
            <wp:effectExtent l="0" t="0" r="0" b="0"/>
            <wp:docPr id="1" name="Picture 1" descr="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0095" cy="819150"/>
                    </a:xfrm>
                    <a:prstGeom prst="rect">
                      <a:avLst/>
                    </a:prstGeom>
                    <a:noFill/>
                    <a:ln>
                      <a:noFill/>
                    </a:ln>
                  </pic:spPr>
                </pic:pic>
              </a:graphicData>
            </a:graphic>
          </wp:inline>
        </w:drawing>
      </w:r>
    </w:p>
    <w:tbl>
      <w:tblPr>
        <w:tblW w:w="10635" w:type="dxa"/>
        <w:tblBorders>
          <w:top w:val="single" w:sz="12" w:space="0" w:color="000000"/>
          <w:bottom w:val="single" w:sz="12" w:space="0" w:color="000000"/>
          <w:insideH w:val="dotted" w:sz="4" w:space="0" w:color="auto"/>
        </w:tblBorders>
        <w:tblLayout w:type="fixed"/>
        <w:tblLook w:val="04A0" w:firstRow="1" w:lastRow="0" w:firstColumn="1" w:lastColumn="0" w:noHBand="0" w:noVBand="1"/>
      </w:tblPr>
      <w:tblGrid>
        <w:gridCol w:w="3084"/>
        <w:gridCol w:w="7551"/>
      </w:tblGrid>
      <w:tr w:rsidR="00B36212" w:rsidRPr="00C04488" w14:paraId="0810B3E2" w14:textId="77777777" w:rsidTr="00B36212">
        <w:trPr>
          <w:trHeight w:val="596"/>
        </w:trPr>
        <w:tc>
          <w:tcPr>
            <w:tcW w:w="3085" w:type="dxa"/>
            <w:tcBorders>
              <w:top w:val="nil"/>
              <w:left w:val="nil"/>
              <w:bottom w:val="dotted" w:sz="4" w:space="0" w:color="auto"/>
              <w:right w:val="nil"/>
            </w:tcBorders>
            <w:vAlign w:val="bottom"/>
            <w:hideMark/>
          </w:tcPr>
          <w:p w14:paraId="530AD1B5" w14:textId="3A291E30"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Poste:</w:t>
            </w:r>
            <w:r w:rsidRPr="00580BDB">
              <w:rPr>
                <w:rFonts w:ascii="Ilisarniq Regular" w:hAnsi="Ilisarniq Regular"/>
                <w:b/>
                <w:noProof/>
                <w:color w:val="1F497D"/>
                <w:sz w:val="22"/>
                <w:szCs w:val="22"/>
                <w:lang w:eastAsia="en-US"/>
              </w:rPr>
              <w:t xml:space="preserve"> </w:t>
            </w:r>
          </w:p>
        </w:tc>
        <w:tc>
          <w:tcPr>
            <w:tcW w:w="7553" w:type="dxa"/>
            <w:tcBorders>
              <w:top w:val="nil"/>
              <w:left w:val="nil"/>
              <w:bottom w:val="dotted" w:sz="4" w:space="0" w:color="auto"/>
              <w:right w:val="nil"/>
            </w:tcBorders>
            <w:vAlign w:val="bottom"/>
            <w:hideMark/>
          </w:tcPr>
          <w:p w14:paraId="611BF19B" w14:textId="658A64A5" w:rsidR="00B36212" w:rsidRPr="00580BDB" w:rsidRDefault="00B36212" w:rsidP="008A701A">
            <w:pPr>
              <w:pStyle w:val="Header"/>
              <w:tabs>
                <w:tab w:val="left" w:pos="720"/>
              </w:tabs>
              <w:rPr>
                <w:rFonts w:ascii="Ilisarniq Regular" w:hAnsi="Ilisarniq Regular" w:cs="Arial"/>
                <w:b/>
                <w:color w:val="1F497D"/>
                <w:sz w:val="22"/>
                <w:szCs w:val="22"/>
                <w:lang w:val="fr-CA"/>
              </w:rPr>
            </w:pPr>
            <w:r w:rsidRPr="00580BDB">
              <w:rPr>
                <w:rFonts w:ascii="Ilisarniq Regular" w:hAnsi="Ilisarniq Regular"/>
                <w:b/>
                <w:color w:val="1F497D"/>
                <w:sz w:val="22"/>
                <w:szCs w:val="22"/>
                <w:lang w:val="fr-CA"/>
              </w:rPr>
              <w:t>DIRECTEUR</w:t>
            </w:r>
            <w:r w:rsidR="008B332C" w:rsidRPr="00580BDB">
              <w:rPr>
                <w:rFonts w:ascii="Ilisarniq Regular" w:hAnsi="Ilisarniq Regular"/>
                <w:b/>
                <w:color w:val="1F497D"/>
                <w:sz w:val="22"/>
                <w:szCs w:val="22"/>
                <w:lang w:val="fr-CA"/>
              </w:rPr>
              <w:t>(TRICE)</w:t>
            </w:r>
            <w:r w:rsidRPr="00580BDB">
              <w:rPr>
                <w:rFonts w:ascii="Ilisarniq Regular" w:hAnsi="Ilisarniq Regular"/>
                <w:b/>
                <w:color w:val="1F497D"/>
                <w:sz w:val="22"/>
                <w:szCs w:val="22"/>
                <w:lang w:val="fr-CA"/>
              </w:rPr>
              <w:t xml:space="preserve"> </w:t>
            </w:r>
            <w:r w:rsidR="004426C2">
              <w:rPr>
                <w:rFonts w:ascii="Ilisarniq Regular" w:hAnsi="Ilisarniq Regular"/>
                <w:b/>
                <w:color w:val="1F497D"/>
                <w:sz w:val="22"/>
                <w:szCs w:val="22"/>
                <w:lang w:val="fr-CA"/>
              </w:rPr>
              <w:t>ADJOINT(E)</w:t>
            </w:r>
            <w:r w:rsidR="008F3B8A">
              <w:rPr>
                <w:rFonts w:ascii="Ilisarniq Regular" w:hAnsi="Ilisarniq Regular"/>
                <w:b/>
                <w:color w:val="1F497D"/>
                <w:sz w:val="22"/>
                <w:szCs w:val="22"/>
                <w:lang w:val="fr-CA"/>
              </w:rPr>
              <w:t xml:space="preserve"> </w:t>
            </w:r>
            <w:r w:rsidRPr="00580BDB">
              <w:rPr>
                <w:rFonts w:ascii="Ilisarniq Regular" w:hAnsi="Ilisarniq Regular"/>
                <w:b/>
                <w:color w:val="1F497D"/>
                <w:sz w:val="22"/>
                <w:szCs w:val="22"/>
                <w:lang w:val="fr-CA"/>
              </w:rPr>
              <w:t xml:space="preserve">D'ÉCOLE </w:t>
            </w:r>
            <w:r w:rsidR="00C86359" w:rsidRPr="00580BDB">
              <w:rPr>
                <w:rFonts w:ascii="Ilisarniq Regular" w:hAnsi="Ilisarniq Regular"/>
                <w:b/>
                <w:color w:val="1F497D"/>
                <w:sz w:val="22"/>
                <w:szCs w:val="22"/>
                <w:lang w:val="fr-CA"/>
              </w:rPr>
              <w:t>(</w:t>
            </w:r>
            <w:r w:rsidR="00ED54F4" w:rsidRPr="00580BDB">
              <w:rPr>
                <w:rFonts w:ascii="Ilisarniq Regular" w:hAnsi="Ilisarniq Regular"/>
                <w:b/>
                <w:color w:val="1F497D"/>
                <w:sz w:val="22"/>
                <w:szCs w:val="22"/>
                <w:lang w:val="fr-CA"/>
              </w:rPr>
              <w:t>PLUSIEURS POSTES)</w:t>
            </w:r>
          </w:p>
        </w:tc>
      </w:tr>
      <w:tr w:rsidR="00B36212" w:rsidRPr="00580BDB" w14:paraId="4F3E6409" w14:textId="77777777" w:rsidTr="00AF3E1E">
        <w:trPr>
          <w:trHeight w:val="356"/>
        </w:trPr>
        <w:tc>
          <w:tcPr>
            <w:tcW w:w="3085" w:type="dxa"/>
            <w:tcBorders>
              <w:top w:val="dotted" w:sz="4" w:space="0" w:color="auto"/>
              <w:left w:val="nil"/>
              <w:bottom w:val="dotted" w:sz="4" w:space="0" w:color="auto"/>
              <w:right w:val="nil"/>
            </w:tcBorders>
            <w:vAlign w:val="center"/>
            <w:hideMark/>
          </w:tcPr>
          <w:p w14:paraId="03D1A026" w14:textId="5677DC98"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SERVICE:</w:t>
            </w:r>
          </w:p>
        </w:tc>
        <w:tc>
          <w:tcPr>
            <w:tcW w:w="7553" w:type="dxa"/>
            <w:tcBorders>
              <w:top w:val="dotted" w:sz="4" w:space="0" w:color="auto"/>
              <w:left w:val="nil"/>
              <w:bottom w:val="dotted" w:sz="4" w:space="0" w:color="auto"/>
              <w:right w:val="nil"/>
            </w:tcBorders>
            <w:vAlign w:val="center"/>
            <w:hideMark/>
          </w:tcPr>
          <w:p w14:paraId="1BF98A61" w14:textId="77777777" w:rsidR="00B36212" w:rsidRPr="00580BDB" w:rsidRDefault="00B36212" w:rsidP="00AF3E1E">
            <w:pPr>
              <w:pStyle w:val="Header"/>
              <w:tabs>
                <w:tab w:val="left" w:pos="720"/>
              </w:tabs>
              <w:rPr>
                <w:rFonts w:ascii="Ilisarniq Regular" w:hAnsi="Ilisarniq Regular" w:cs="Arial"/>
                <w:b/>
                <w:color w:val="1F497D"/>
                <w:sz w:val="22"/>
                <w:szCs w:val="22"/>
              </w:rPr>
            </w:pPr>
            <w:r w:rsidRPr="00580BDB">
              <w:rPr>
                <w:rFonts w:ascii="Ilisarniq Regular" w:hAnsi="Ilisarniq Regular"/>
                <w:b/>
                <w:color w:val="1F497D"/>
                <w:sz w:val="22"/>
                <w:szCs w:val="22"/>
              </w:rPr>
              <w:t>OPÉRATIONS SCOLAIRES</w:t>
            </w:r>
          </w:p>
        </w:tc>
      </w:tr>
      <w:tr w:rsidR="00B36212" w:rsidRPr="00580BDB" w14:paraId="2B634B93" w14:textId="77777777" w:rsidTr="00AF3E1E">
        <w:trPr>
          <w:trHeight w:val="356"/>
        </w:trPr>
        <w:tc>
          <w:tcPr>
            <w:tcW w:w="3085" w:type="dxa"/>
            <w:tcBorders>
              <w:top w:val="dotted" w:sz="4" w:space="0" w:color="auto"/>
              <w:left w:val="nil"/>
              <w:bottom w:val="dotted" w:sz="4" w:space="0" w:color="auto"/>
              <w:right w:val="nil"/>
            </w:tcBorders>
            <w:vAlign w:val="center"/>
            <w:hideMark/>
          </w:tcPr>
          <w:p w14:paraId="27907AF9" w14:textId="4F56A628"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CONCOURS N</w:t>
            </w:r>
            <w:r w:rsidRPr="00580BDB">
              <w:rPr>
                <w:rFonts w:ascii="Ilisarniq Regular" w:hAnsi="Ilisarniq Regular"/>
                <w:b/>
                <w:caps/>
                <w:color w:val="1F497D"/>
                <w:sz w:val="22"/>
                <w:szCs w:val="22"/>
              </w:rPr>
              <w:t>°</w:t>
            </w:r>
            <w:r w:rsidRPr="00580BDB">
              <w:rPr>
                <w:rFonts w:ascii="Ilisarniq Regular" w:hAnsi="Ilisarniq Regular" w:cs="Arial"/>
                <w:b/>
                <w:caps/>
                <w:color w:val="1F497D"/>
                <w:sz w:val="22"/>
                <w:szCs w:val="22"/>
              </w:rPr>
              <w:t>:</w:t>
            </w:r>
          </w:p>
        </w:tc>
        <w:tc>
          <w:tcPr>
            <w:tcW w:w="7553" w:type="dxa"/>
            <w:tcBorders>
              <w:top w:val="dotted" w:sz="4" w:space="0" w:color="auto"/>
              <w:left w:val="nil"/>
              <w:bottom w:val="dotted" w:sz="4" w:space="0" w:color="auto"/>
              <w:right w:val="nil"/>
            </w:tcBorders>
            <w:vAlign w:val="center"/>
            <w:hideMark/>
          </w:tcPr>
          <w:p w14:paraId="6CCA63CB" w14:textId="41AC141C" w:rsidR="00B36212" w:rsidRPr="00580BDB" w:rsidRDefault="00600157" w:rsidP="00917424">
            <w:pPr>
              <w:pStyle w:val="Header"/>
              <w:tabs>
                <w:tab w:val="left" w:pos="720"/>
              </w:tabs>
              <w:rPr>
                <w:rFonts w:ascii="Ilisarniq Regular" w:hAnsi="Ilisarniq Regular" w:cs="Arial"/>
                <w:b/>
                <w:color w:val="1F497D"/>
                <w:sz w:val="22"/>
                <w:szCs w:val="22"/>
              </w:rPr>
            </w:pPr>
            <w:r w:rsidRPr="00580BDB">
              <w:rPr>
                <w:rFonts w:ascii="Ilisarniq Regular" w:hAnsi="Ilisarniq Regular" w:cs="Arial"/>
                <w:b/>
                <w:color w:val="1F497D"/>
                <w:sz w:val="22"/>
                <w:szCs w:val="22"/>
              </w:rPr>
              <w:t>SO</w:t>
            </w:r>
            <w:r w:rsidR="00FD5606">
              <w:rPr>
                <w:rFonts w:ascii="Ilisarniq Regular" w:hAnsi="Ilisarniq Regular" w:cs="Arial"/>
                <w:b/>
                <w:color w:val="1F497D"/>
                <w:sz w:val="22"/>
                <w:szCs w:val="22"/>
              </w:rPr>
              <w:t>VP</w:t>
            </w:r>
            <w:r w:rsidRPr="00580BDB">
              <w:rPr>
                <w:rFonts w:ascii="Ilisarniq Regular" w:hAnsi="Ilisarniq Regular" w:cs="Arial"/>
                <w:b/>
                <w:color w:val="1F497D"/>
                <w:sz w:val="22"/>
                <w:szCs w:val="22"/>
              </w:rPr>
              <w:t>BANK2201-01</w:t>
            </w:r>
          </w:p>
        </w:tc>
      </w:tr>
      <w:tr w:rsidR="00B36212" w:rsidRPr="00580BDB" w14:paraId="2FF9ACFA" w14:textId="77777777" w:rsidTr="008A701A">
        <w:trPr>
          <w:trHeight w:val="348"/>
        </w:trPr>
        <w:tc>
          <w:tcPr>
            <w:tcW w:w="3085" w:type="dxa"/>
            <w:tcBorders>
              <w:top w:val="dotted" w:sz="4" w:space="0" w:color="auto"/>
              <w:left w:val="nil"/>
              <w:bottom w:val="dotted" w:sz="4" w:space="0" w:color="auto"/>
              <w:right w:val="nil"/>
            </w:tcBorders>
            <w:vAlign w:val="center"/>
            <w:hideMark/>
          </w:tcPr>
          <w:p w14:paraId="1B56FE60" w14:textId="4A313ECC"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LIEU DE TRAVAIL:</w:t>
            </w:r>
          </w:p>
        </w:tc>
        <w:tc>
          <w:tcPr>
            <w:tcW w:w="7553" w:type="dxa"/>
            <w:tcBorders>
              <w:top w:val="dotted" w:sz="4" w:space="0" w:color="auto"/>
              <w:left w:val="nil"/>
              <w:bottom w:val="dotted" w:sz="4" w:space="0" w:color="auto"/>
              <w:right w:val="nil"/>
            </w:tcBorders>
            <w:vAlign w:val="center"/>
            <w:hideMark/>
          </w:tcPr>
          <w:p w14:paraId="63ABD09E" w14:textId="41E622B9" w:rsidR="00032DDE" w:rsidRPr="009B0996" w:rsidRDefault="00510812" w:rsidP="00032DDE">
            <w:pPr>
              <w:pStyle w:val="Header"/>
              <w:tabs>
                <w:tab w:val="clear" w:pos="4320"/>
                <w:tab w:val="left" w:pos="2055"/>
              </w:tabs>
              <w:rPr>
                <w:rFonts w:ascii="Ilisarniq Regular" w:hAnsi="Ilisarniq Regular" w:cs="Arial"/>
                <w:b/>
                <w:color w:val="1F497D"/>
                <w:sz w:val="22"/>
                <w:szCs w:val="22"/>
              </w:rPr>
            </w:pPr>
            <w:r w:rsidRPr="009B0996">
              <w:rPr>
                <w:rFonts w:ascii="Ilisarniq Regular" w:hAnsi="Ilisarniq Regular" w:cs="Arial"/>
                <w:b/>
                <w:color w:val="1F497D"/>
                <w:sz w:val="22"/>
                <w:szCs w:val="22"/>
              </w:rPr>
              <w:t>SALLUIT</w:t>
            </w:r>
            <w:r w:rsidR="006C567E" w:rsidRPr="009B0996">
              <w:rPr>
                <w:rFonts w:ascii="Ilisarniq Regular" w:hAnsi="Ilisarniq Regular" w:cs="Arial"/>
                <w:b/>
                <w:color w:val="1F497D"/>
                <w:sz w:val="22"/>
                <w:szCs w:val="22"/>
              </w:rPr>
              <w:t>, QC</w:t>
            </w:r>
            <w:r w:rsidR="00032DDE" w:rsidRPr="009B0996">
              <w:rPr>
                <w:rFonts w:ascii="Ilisarniq Regular" w:hAnsi="Ilisarniq Regular" w:cs="Arial"/>
                <w:b/>
                <w:color w:val="1F497D"/>
                <w:sz w:val="22"/>
                <w:szCs w:val="22"/>
              </w:rPr>
              <w:tab/>
              <w:t>INUKJUAK, QC</w:t>
            </w:r>
          </w:p>
          <w:p w14:paraId="736976A6" w14:textId="7D15BFD4" w:rsidR="0076647E" w:rsidRPr="00032DDE" w:rsidRDefault="00510812" w:rsidP="00032DDE">
            <w:pPr>
              <w:pStyle w:val="Header"/>
              <w:tabs>
                <w:tab w:val="left" w:pos="2055"/>
              </w:tabs>
              <w:rPr>
                <w:rFonts w:ascii="Ilisarniq Regular" w:hAnsi="Ilisarniq Regular" w:cs="Arial"/>
                <w:b/>
                <w:color w:val="1F497D"/>
                <w:sz w:val="22"/>
                <w:szCs w:val="22"/>
              </w:rPr>
            </w:pPr>
            <w:r w:rsidRPr="009B0996">
              <w:rPr>
                <w:rFonts w:ascii="Ilisarniq Regular" w:hAnsi="Ilisarniq Regular" w:cs="Arial"/>
                <w:b/>
                <w:color w:val="1F497D"/>
                <w:sz w:val="22"/>
                <w:szCs w:val="22"/>
              </w:rPr>
              <w:t>IVUJIVIK</w:t>
            </w:r>
            <w:r w:rsidR="00D05DBB" w:rsidRPr="009B0996">
              <w:rPr>
                <w:rFonts w:ascii="Ilisarniq Regular" w:hAnsi="Ilisarniq Regular" w:cs="Arial"/>
                <w:b/>
                <w:color w:val="1F497D"/>
                <w:sz w:val="22"/>
                <w:szCs w:val="22"/>
              </w:rPr>
              <w:t>, QC</w:t>
            </w:r>
            <w:r w:rsidR="00032DDE" w:rsidRPr="009B0996">
              <w:rPr>
                <w:rFonts w:ascii="Ilisarniq Regular" w:hAnsi="Ilisarniq Regular" w:cs="Arial"/>
                <w:b/>
                <w:color w:val="1F497D"/>
                <w:sz w:val="22"/>
                <w:szCs w:val="22"/>
              </w:rPr>
              <w:tab/>
            </w:r>
            <w:r w:rsidR="009B0996" w:rsidRPr="009B0996">
              <w:rPr>
                <w:rFonts w:ascii="Ilisarniq Regular" w:hAnsi="Ilisarniq Regular" w:cs="Arial"/>
                <w:b/>
                <w:color w:val="1F497D"/>
                <w:sz w:val="22"/>
                <w:szCs w:val="22"/>
              </w:rPr>
              <w:t>AUPALUK, QC</w:t>
            </w:r>
            <w:r w:rsidR="00032DDE">
              <w:rPr>
                <w:rFonts w:ascii="Ilisarniq Regular" w:hAnsi="Ilisarniq Regular" w:cs="Arial"/>
                <w:b/>
                <w:color w:val="1F497D"/>
                <w:sz w:val="22"/>
                <w:szCs w:val="22"/>
              </w:rPr>
              <w:tab/>
            </w:r>
          </w:p>
        </w:tc>
      </w:tr>
      <w:tr w:rsidR="00B36212" w:rsidRPr="00C04488" w14:paraId="6A8E9E95" w14:textId="77777777" w:rsidTr="00AF3E1E">
        <w:trPr>
          <w:trHeight w:val="356"/>
        </w:trPr>
        <w:tc>
          <w:tcPr>
            <w:tcW w:w="3085" w:type="dxa"/>
            <w:tcBorders>
              <w:top w:val="dotted" w:sz="4" w:space="0" w:color="auto"/>
              <w:left w:val="nil"/>
              <w:bottom w:val="dotted" w:sz="4" w:space="0" w:color="auto"/>
              <w:right w:val="nil"/>
            </w:tcBorders>
            <w:vAlign w:val="center"/>
            <w:hideMark/>
          </w:tcPr>
          <w:p w14:paraId="186DB13D" w14:textId="5E42F206"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STATUt:</w:t>
            </w:r>
          </w:p>
        </w:tc>
        <w:tc>
          <w:tcPr>
            <w:tcW w:w="7553" w:type="dxa"/>
            <w:tcBorders>
              <w:top w:val="dotted" w:sz="4" w:space="0" w:color="auto"/>
              <w:left w:val="nil"/>
              <w:bottom w:val="dotted" w:sz="4" w:space="0" w:color="auto"/>
              <w:right w:val="nil"/>
            </w:tcBorders>
            <w:vAlign w:val="center"/>
            <w:hideMark/>
          </w:tcPr>
          <w:p w14:paraId="43353066" w14:textId="77777777" w:rsidR="00B36212" w:rsidRPr="00580BDB" w:rsidRDefault="00B36212" w:rsidP="00AF3E1E">
            <w:pPr>
              <w:pStyle w:val="Header"/>
              <w:tabs>
                <w:tab w:val="left" w:pos="720"/>
              </w:tabs>
              <w:rPr>
                <w:rFonts w:ascii="Ilisarniq Regular" w:hAnsi="Ilisarniq Regular" w:cs="Arial"/>
                <w:b/>
                <w:caps/>
                <w:color w:val="1F497D"/>
                <w:sz w:val="22"/>
                <w:szCs w:val="22"/>
                <w:lang w:val="fr-CA"/>
              </w:rPr>
            </w:pPr>
            <w:r w:rsidRPr="00580BDB">
              <w:rPr>
                <w:rFonts w:ascii="Ilisarniq Regular" w:hAnsi="Ilisarniq Regular" w:cs="Arial"/>
                <w:b/>
                <w:color w:val="1F497D"/>
                <w:sz w:val="22"/>
                <w:szCs w:val="22"/>
                <w:lang w:val="fr-CA"/>
              </w:rPr>
              <w:t>POSTES RÉGULIERS ET DE REMPLACEMENT</w:t>
            </w:r>
          </w:p>
        </w:tc>
      </w:tr>
      <w:tr w:rsidR="00B36212" w:rsidRPr="00580BDB" w14:paraId="1EF8E1C8" w14:textId="77777777" w:rsidTr="00AF3E1E">
        <w:trPr>
          <w:trHeight w:val="356"/>
        </w:trPr>
        <w:tc>
          <w:tcPr>
            <w:tcW w:w="3085" w:type="dxa"/>
            <w:tcBorders>
              <w:top w:val="dotted" w:sz="4" w:space="0" w:color="auto"/>
              <w:left w:val="nil"/>
              <w:bottom w:val="single" w:sz="18" w:space="0" w:color="1F497D"/>
              <w:right w:val="nil"/>
            </w:tcBorders>
            <w:vAlign w:val="center"/>
            <w:hideMark/>
          </w:tcPr>
          <w:p w14:paraId="7C6698AF" w14:textId="2CA56D42" w:rsidR="00B36212" w:rsidRPr="00580BDB" w:rsidRDefault="00B36212" w:rsidP="00AF3E1E">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aps/>
                <w:color w:val="1F497D"/>
                <w:sz w:val="22"/>
                <w:szCs w:val="22"/>
              </w:rPr>
              <w:t>ENTRÉE EN FONCTION:</w:t>
            </w:r>
          </w:p>
        </w:tc>
        <w:tc>
          <w:tcPr>
            <w:tcW w:w="7553" w:type="dxa"/>
            <w:tcBorders>
              <w:top w:val="dotted" w:sz="4" w:space="0" w:color="auto"/>
              <w:left w:val="nil"/>
              <w:bottom w:val="single" w:sz="18" w:space="0" w:color="1F497D"/>
              <w:right w:val="nil"/>
            </w:tcBorders>
            <w:vAlign w:val="center"/>
            <w:hideMark/>
          </w:tcPr>
          <w:p w14:paraId="06FC7A9F" w14:textId="4A9A0043" w:rsidR="00B36212" w:rsidRPr="00580BDB" w:rsidRDefault="008344DB" w:rsidP="005F52E8">
            <w:pPr>
              <w:pStyle w:val="Header"/>
              <w:tabs>
                <w:tab w:val="left" w:pos="720"/>
              </w:tabs>
              <w:rPr>
                <w:rFonts w:ascii="Ilisarniq Regular" w:hAnsi="Ilisarniq Regular" w:cs="Arial"/>
                <w:b/>
                <w:caps/>
                <w:color w:val="1F497D"/>
                <w:sz w:val="22"/>
                <w:szCs w:val="22"/>
              </w:rPr>
            </w:pPr>
            <w:r w:rsidRPr="00580BDB">
              <w:rPr>
                <w:rFonts w:ascii="Ilisarniq Regular" w:hAnsi="Ilisarniq Regular" w:cs="Arial"/>
                <w:b/>
                <w:color w:val="1F497D"/>
                <w:sz w:val="22"/>
                <w:szCs w:val="22"/>
                <w:lang w:val="fr-CA"/>
              </w:rPr>
              <w:t>DÈS QUE POSSIBLE</w:t>
            </w:r>
          </w:p>
        </w:tc>
      </w:tr>
    </w:tbl>
    <w:p w14:paraId="058C4306" w14:textId="77777777" w:rsidR="00946842" w:rsidRPr="00580BDB" w:rsidRDefault="00946842" w:rsidP="00946842">
      <w:pPr>
        <w:spacing w:before="120" w:after="120"/>
        <w:jc w:val="both"/>
        <w:rPr>
          <w:rFonts w:ascii="Ilisarniq Regular" w:hAnsi="Ilisarniq Regular" w:cs="Arial"/>
          <w:b/>
          <w:bCs/>
          <w:i/>
          <w:color w:val="000000"/>
          <w:sz w:val="22"/>
          <w:szCs w:val="22"/>
          <w:lang w:val="fr-CA"/>
        </w:rPr>
      </w:pPr>
      <w:r w:rsidRPr="00580BDB">
        <w:rPr>
          <w:rFonts w:ascii="Ilisarniq Regular" w:hAnsi="Ilisarniq Regular" w:cs="Arial"/>
          <w:b/>
          <w:bCs/>
          <w:i/>
          <w:color w:val="000000"/>
          <w:sz w:val="22"/>
          <w:szCs w:val="22"/>
          <w:lang w:val="fr-CA"/>
        </w:rPr>
        <w:t xml:space="preserve">Kativik </w:t>
      </w:r>
      <w:proofErr w:type="spellStart"/>
      <w:r w:rsidRPr="00580BDB">
        <w:rPr>
          <w:rFonts w:ascii="Ilisarniq Regular" w:hAnsi="Ilisarniq Regular" w:cs="Arial"/>
          <w:b/>
          <w:bCs/>
          <w:i/>
          <w:color w:val="000000"/>
          <w:sz w:val="22"/>
          <w:szCs w:val="22"/>
          <w:lang w:val="fr-CA"/>
        </w:rPr>
        <w:t>Ilisarniliriniq</w:t>
      </w:r>
      <w:proofErr w:type="spellEnd"/>
      <w:r w:rsidRPr="00580BDB">
        <w:rPr>
          <w:rFonts w:ascii="Ilisarniq Regular" w:hAnsi="Ilisarniq Regular" w:cs="Arial"/>
          <w:b/>
          <w:bCs/>
          <w:i/>
          <w:color w:val="000000"/>
          <w:sz w:val="22"/>
          <w:szCs w:val="22"/>
          <w:lang w:val="fr-CA"/>
        </w:rPr>
        <w:t xml:space="preserve"> est une commission scolaire proposant des services éducatifs dans les 14 communautés du Nunavik. </w:t>
      </w:r>
    </w:p>
    <w:p w14:paraId="70F40076" w14:textId="77777777" w:rsidR="00946842" w:rsidRPr="00580BDB" w:rsidRDefault="00946842" w:rsidP="00946842">
      <w:pPr>
        <w:keepNext/>
        <w:spacing w:before="120" w:after="120"/>
        <w:jc w:val="both"/>
        <w:outlineLvl w:val="0"/>
        <w:rPr>
          <w:rFonts w:ascii="Ilisarniq Regular" w:hAnsi="Ilisarniq Regular"/>
          <w:b/>
          <w:caps/>
          <w:sz w:val="22"/>
          <w:szCs w:val="22"/>
          <w:lang w:val="fr-CA"/>
        </w:rPr>
      </w:pPr>
      <w:r w:rsidRPr="00580BDB">
        <w:rPr>
          <w:rFonts w:ascii="Ilisarniq Regular" w:hAnsi="Ilisarniq Regular"/>
          <w:b/>
          <w:sz w:val="22"/>
          <w:szCs w:val="22"/>
          <w:lang w:val="fr-CA"/>
        </w:rPr>
        <w:t>FONCTION &amp; TÂCHES :</w:t>
      </w:r>
    </w:p>
    <w:p w14:paraId="5BC2B36A" w14:textId="52E5F67C" w:rsidR="00946842" w:rsidRPr="00580BDB" w:rsidRDefault="00D604E9" w:rsidP="00946842">
      <w:pPr>
        <w:pStyle w:val="Footer"/>
        <w:tabs>
          <w:tab w:val="clear" w:pos="4320"/>
          <w:tab w:val="clear" w:pos="8640"/>
          <w:tab w:val="right" w:pos="10440"/>
        </w:tabs>
        <w:jc w:val="both"/>
        <w:rPr>
          <w:rFonts w:ascii="Ilisarniq Regular" w:hAnsi="Ilisarniq Regular" w:cs="Arial"/>
          <w:sz w:val="22"/>
          <w:szCs w:val="22"/>
          <w:lang w:val="fr-CA"/>
        </w:rPr>
      </w:pPr>
      <w:r w:rsidRPr="00D604E9">
        <w:rPr>
          <w:rFonts w:ascii="Ilisarniq Regular" w:hAnsi="Ilisarniq Regular" w:cs="Arial"/>
          <w:sz w:val="22"/>
          <w:szCs w:val="22"/>
          <w:lang w:val="fr-CA"/>
        </w:rPr>
        <w:t xml:space="preserve">Sous la supervision </w:t>
      </w:r>
      <w:r>
        <w:rPr>
          <w:rFonts w:ascii="Ilisarniq Regular" w:hAnsi="Ilisarniq Regular" w:cs="Arial"/>
          <w:sz w:val="22"/>
          <w:szCs w:val="22"/>
          <w:lang w:val="fr-CA"/>
        </w:rPr>
        <w:t>de la Direction</w:t>
      </w:r>
      <w:r w:rsidRPr="00D604E9">
        <w:rPr>
          <w:rFonts w:ascii="Ilisarniq Regular" w:hAnsi="Ilisarniq Regular" w:cs="Arial"/>
          <w:sz w:val="22"/>
          <w:szCs w:val="22"/>
          <w:lang w:val="fr-CA"/>
        </w:rPr>
        <w:t xml:space="preserve"> d’école, le</w:t>
      </w:r>
      <w:r>
        <w:rPr>
          <w:rFonts w:ascii="Ilisarniq Regular" w:hAnsi="Ilisarniq Regular" w:cs="Arial"/>
          <w:sz w:val="22"/>
          <w:szCs w:val="22"/>
          <w:lang w:val="fr-CA"/>
        </w:rPr>
        <w:t>(la)</w:t>
      </w:r>
      <w:r w:rsidRPr="00D604E9">
        <w:rPr>
          <w:rFonts w:ascii="Ilisarniq Regular" w:hAnsi="Ilisarniq Regular" w:cs="Arial"/>
          <w:sz w:val="22"/>
          <w:szCs w:val="22"/>
          <w:lang w:val="fr-CA"/>
        </w:rPr>
        <w:t xml:space="preserve"> Directeur</w:t>
      </w:r>
      <w:r>
        <w:rPr>
          <w:rFonts w:ascii="Ilisarniq Regular" w:hAnsi="Ilisarniq Regular" w:cs="Arial"/>
          <w:sz w:val="22"/>
          <w:szCs w:val="22"/>
          <w:lang w:val="fr-CA"/>
        </w:rPr>
        <w:t>(</w:t>
      </w:r>
      <w:proofErr w:type="spellStart"/>
      <w:r>
        <w:rPr>
          <w:rFonts w:ascii="Ilisarniq Regular" w:hAnsi="Ilisarniq Regular" w:cs="Arial"/>
          <w:sz w:val="22"/>
          <w:szCs w:val="22"/>
          <w:lang w:val="fr-CA"/>
        </w:rPr>
        <w:t>trice</w:t>
      </w:r>
      <w:proofErr w:type="spellEnd"/>
      <w:r>
        <w:rPr>
          <w:rFonts w:ascii="Ilisarniq Regular" w:hAnsi="Ilisarniq Regular" w:cs="Arial"/>
          <w:sz w:val="22"/>
          <w:szCs w:val="22"/>
          <w:lang w:val="fr-CA"/>
        </w:rPr>
        <w:t>)</w:t>
      </w:r>
      <w:r w:rsidRPr="00D604E9">
        <w:rPr>
          <w:rFonts w:ascii="Ilisarniq Regular" w:hAnsi="Ilisarniq Regular" w:cs="Arial"/>
          <w:sz w:val="22"/>
          <w:szCs w:val="22"/>
          <w:lang w:val="fr-CA"/>
        </w:rPr>
        <w:t xml:space="preserve"> adjoint</w:t>
      </w:r>
      <w:r>
        <w:rPr>
          <w:rFonts w:ascii="Ilisarniq Regular" w:hAnsi="Ilisarniq Regular" w:cs="Arial"/>
          <w:sz w:val="22"/>
          <w:szCs w:val="22"/>
          <w:lang w:val="fr-CA"/>
        </w:rPr>
        <w:t>(e)</w:t>
      </w:r>
      <w:r w:rsidRPr="00D604E9">
        <w:rPr>
          <w:rFonts w:ascii="Ilisarniq Regular" w:hAnsi="Ilisarniq Regular" w:cs="Arial"/>
          <w:sz w:val="22"/>
          <w:szCs w:val="22"/>
          <w:lang w:val="fr-CA"/>
        </w:rPr>
        <w:t xml:space="preserve"> a la responsabilité d'assister </w:t>
      </w:r>
      <w:r>
        <w:rPr>
          <w:rFonts w:ascii="Ilisarniq Regular" w:hAnsi="Ilisarniq Regular" w:cs="Arial"/>
          <w:sz w:val="22"/>
          <w:szCs w:val="22"/>
          <w:lang w:val="fr-CA"/>
        </w:rPr>
        <w:t>son superviseur</w:t>
      </w:r>
      <w:r w:rsidRPr="00D604E9">
        <w:rPr>
          <w:rFonts w:ascii="Ilisarniq Regular" w:hAnsi="Ilisarniq Regular" w:cs="Arial"/>
          <w:sz w:val="22"/>
          <w:szCs w:val="22"/>
          <w:lang w:val="fr-CA"/>
        </w:rPr>
        <w:t xml:space="preserve"> dans la gestion pédagogique des programmes et des ressources de l'école suivant les lignes de conduite de la commission scolaire.</w:t>
      </w:r>
    </w:p>
    <w:p w14:paraId="5769CFC9" w14:textId="77777777" w:rsidR="00946842" w:rsidRPr="00580BDB" w:rsidRDefault="00946842" w:rsidP="00946842">
      <w:pPr>
        <w:keepNext/>
        <w:spacing w:before="120" w:after="120"/>
        <w:jc w:val="both"/>
        <w:outlineLvl w:val="0"/>
        <w:rPr>
          <w:rFonts w:ascii="Ilisarniq Regular" w:hAnsi="Ilisarniq Regular"/>
          <w:b/>
          <w:sz w:val="22"/>
          <w:szCs w:val="22"/>
          <w:lang w:val="fr-CA"/>
        </w:rPr>
      </w:pPr>
      <w:r w:rsidRPr="00580BDB">
        <w:rPr>
          <w:rFonts w:ascii="Ilisarniq Regular" w:hAnsi="Ilisarniq Regular"/>
          <w:b/>
          <w:sz w:val="22"/>
          <w:szCs w:val="22"/>
          <w:lang w:val="fr-CA"/>
        </w:rPr>
        <w:t>QUALIFICATIONS :</w:t>
      </w:r>
    </w:p>
    <w:p w14:paraId="1155298A" w14:textId="77777777" w:rsidR="00946842" w:rsidRPr="00580BDB" w:rsidRDefault="00946842" w:rsidP="00946842">
      <w:pPr>
        <w:numPr>
          <w:ilvl w:val="0"/>
          <w:numId w:val="14"/>
        </w:numPr>
        <w:jc w:val="both"/>
        <w:rPr>
          <w:rFonts w:ascii="Ilisarniq Regular" w:hAnsi="Ilisarniq Regular"/>
          <w:sz w:val="22"/>
          <w:szCs w:val="22"/>
          <w:lang w:val="fr-CA"/>
        </w:rPr>
      </w:pPr>
      <w:r w:rsidRPr="00580BDB">
        <w:rPr>
          <w:rFonts w:ascii="Ilisarniq Regular" w:hAnsi="Ilisarniq Regular"/>
          <w:sz w:val="22"/>
          <w:szCs w:val="22"/>
          <w:lang w:val="fr-CA"/>
        </w:rPr>
        <w:t xml:space="preserve">Brevet d’enseignement du </w:t>
      </w:r>
      <w:proofErr w:type="gramStart"/>
      <w:r w:rsidRPr="00580BDB">
        <w:rPr>
          <w:rFonts w:ascii="Ilisarniq Regular" w:hAnsi="Ilisarniq Regular"/>
          <w:sz w:val="22"/>
          <w:szCs w:val="22"/>
          <w:lang w:val="fr-CA"/>
        </w:rPr>
        <w:t>Ministère de l’Éducation</w:t>
      </w:r>
      <w:proofErr w:type="gramEnd"/>
      <w:r w:rsidRPr="00580BDB">
        <w:rPr>
          <w:rFonts w:ascii="Ilisarniq Regular" w:hAnsi="Ilisarniq Regular"/>
          <w:sz w:val="22"/>
          <w:szCs w:val="22"/>
          <w:lang w:val="fr-CA"/>
        </w:rPr>
        <w:t>, de l’Enseignement supérieur et de la Recherche (MEESR) ou l’équivalent d’une autre province canadienne ou une autorisation d’enseigner reconnue en vertu de la Loi sur l’instruction publique pour les autochtones cris, inuit et naskapis (L.R.Q., c. I-14);</w:t>
      </w:r>
    </w:p>
    <w:p w14:paraId="0B274C9B" w14:textId="50277A57" w:rsidR="00946842" w:rsidRPr="00580BDB" w:rsidRDefault="00946842" w:rsidP="00946842">
      <w:pPr>
        <w:numPr>
          <w:ilvl w:val="0"/>
          <w:numId w:val="14"/>
        </w:numPr>
        <w:jc w:val="both"/>
        <w:rPr>
          <w:rFonts w:ascii="Ilisarniq Regular" w:hAnsi="Ilisarniq Regular"/>
          <w:sz w:val="22"/>
          <w:szCs w:val="22"/>
          <w:lang w:val="fr-CA"/>
        </w:rPr>
      </w:pPr>
      <w:r w:rsidRPr="00580BDB">
        <w:rPr>
          <w:rFonts w:ascii="Ilisarniq Regular" w:hAnsi="Ilisarniq Regular"/>
          <w:sz w:val="22"/>
          <w:szCs w:val="22"/>
          <w:lang w:val="fr-CA"/>
        </w:rPr>
        <w:t xml:space="preserve">Baccalauréat en sciences de l’éducation ou grade universitaire de 1er cycle dans un champ d’études approprié sanctionnant un programme d’études universitaires d’une durée minimale de trois ans ou occuper un emploi de hors-cadre ou de cadre, dont les qualifications minimales exigent de détenir un grade universitaire de 1er cycle, dans une commission scolaire ou occuper un emploi de Directeur </w:t>
      </w:r>
      <w:r w:rsidR="00826E93">
        <w:rPr>
          <w:rFonts w:ascii="Ilisarniq Regular" w:hAnsi="Ilisarniq Regular"/>
          <w:sz w:val="22"/>
          <w:szCs w:val="22"/>
          <w:lang w:val="fr-CA"/>
        </w:rPr>
        <w:t>a</w:t>
      </w:r>
      <w:r w:rsidRPr="00580BDB">
        <w:rPr>
          <w:rFonts w:ascii="Ilisarniq Regular" w:hAnsi="Ilisarniq Regular"/>
          <w:sz w:val="22"/>
          <w:szCs w:val="22"/>
          <w:lang w:val="fr-CA"/>
        </w:rPr>
        <w:t xml:space="preserve">djoint d’école ; </w:t>
      </w:r>
    </w:p>
    <w:p w14:paraId="7DB295FF" w14:textId="77777777" w:rsidR="00946842" w:rsidRPr="00580BDB" w:rsidRDefault="00946842" w:rsidP="00946842">
      <w:pPr>
        <w:jc w:val="both"/>
        <w:rPr>
          <w:rFonts w:ascii="Ilisarniq Regular" w:hAnsi="Ilisarniq Regular"/>
          <w:sz w:val="22"/>
          <w:szCs w:val="22"/>
          <w:lang w:val="fr-CA"/>
        </w:rPr>
      </w:pPr>
    </w:p>
    <w:p w14:paraId="4731409C" w14:textId="77777777" w:rsidR="00946842" w:rsidRPr="00580BDB" w:rsidRDefault="00946842" w:rsidP="00946842">
      <w:pPr>
        <w:jc w:val="both"/>
        <w:rPr>
          <w:rFonts w:ascii="Ilisarniq Regular" w:hAnsi="Ilisarniq Regular" w:cs="Arial"/>
          <w:i/>
          <w:sz w:val="22"/>
          <w:szCs w:val="22"/>
          <w:lang w:val="fr-CA"/>
        </w:rPr>
      </w:pPr>
      <w:r w:rsidRPr="00580BDB">
        <w:rPr>
          <w:rFonts w:ascii="Ilisarniq Regular" w:hAnsi="Ilisarniq Regular" w:cs="Arial"/>
          <w:i/>
          <w:sz w:val="22"/>
          <w:szCs w:val="22"/>
          <w:lang w:val="fr-CA"/>
        </w:rPr>
        <w:t>La Commission scolaire peut, à son gré, ne pas tenir compte des qualifications précitées si elle juge adéquate la candidature d'une ou d'un bénéficiaire de la Convention de la Baie James et du Nord québécois (CBJNQ) et que la personne accepte de suivre un programme de formation déterminé par la Commission.</w:t>
      </w:r>
    </w:p>
    <w:p w14:paraId="47888CF1" w14:textId="77777777" w:rsidR="00946842" w:rsidRPr="00580BDB" w:rsidRDefault="00946842" w:rsidP="00946842">
      <w:pPr>
        <w:keepNext/>
        <w:spacing w:before="120" w:after="120"/>
        <w:jc w:val="both"/>
        <w:outlineLvl w:val="0"/>
        <w:rPr>
          <w:rFonts w:ascii="Ilisarniq Regular" w:hAnsi="Ilisarniq Regular"/>
          <w:b/>
          <w:caps/>
          <w:sz w:val="22"/>
          <w:szCs w:val="22"/>
          <w:lang w:val="fr-CA"/>
        </w:rPr>
      </w:pPr>
      <w:r w:rsidRPr="00580BDB">
        <w:rPr>
          <w:rFonts w:ascii="Ilisarniq Regular" w:hAnsi="Ilisarniq Regular"/>
          <w:b/>
          <w:sz w:val="22"/>
          <w:szCs w:val="22"/>
          <w:lang w:val="fr-CA"/>
        </w:rPr>
        <w:t>EXIGENCES:</w:t>
      </w:r>
    </w:p>
    <w:p w14:paraId="5C93E572" w14:textId="62D1EB0E" w:rsidR="00946842" w:rsidRPr="00580BDB" w:rsidRDefault="00826E93" w:rsidP="00946842">
      <w:pPr>
        <w:numPr>
          <w:ilvl w:val="0"/>
          <w:numId w:val="15"/>
        </w:numPr>
        <w:jc w:val="both"/>
        <w:rPr>
          <w:rFonts w:ascii="Ilisarniq Regular" w:hAnsi="Ilisarniq Regular"/>
          <w:sz w:val="22"/>
          <w:szCs w:val="22"/>
          <w:lang w:val="fr-CA"/>
        </w:rPr>
      </w:pPr>
      <w:r>
        <w:rPr>
          <w:rFonts w:ascii="Ilisarniq Regular" w:hAnsi="Ilisarniq Regular"/>
          <w:sz w:val="22"/>
          <w:szCs w:val="22"/>
          <w:lang w:val="fr-CA"/>
        </w:rPr>
        <w:t>Cinq</w:t>
      </w:r>
      <w:r w:rsidR="00946842" w:rsidRPr="00580BDB">
        <w:rPr>
          <w:rFonts w:ascii="Ilisarniq Regular" w:hAnsi="Ilisarniq Regular"/>
          <w:sz w:val="22"/>
          <w:szCs w:val="22"/>
          <w:lang w:val="fr-CA"/>
        </w:rPr>
        <w:t xml:space="preserve"> (</w:t>
      </w:r>
      <w:r>
        <w:rPr>
          <w:rFonts w:ascii="Ilisarniq Regular" w:hAnsi="Ilisarniq Regular"/>
          <w:sz w:val="22"/>
          <w:szCs w:val="22"/>
          <w:lang w:val="fr-CA"/>
        </w:rPr>
        <w:t>5</w:t>
      </w:r>
      <w:r w:rsidR="00946842" w:rsidRPr="00580BDB">
        <w:rPr>
          <w:rFonts w:ascii="Ilisarniq Regular" w:hAnsi="Ilisarniq Regular"/>
          <w:sz w:val="22"/>
          <w:szCs w:val="22"/>
          <w:lang w:val="fr-CA"/>
        </w:rPr>
        <w:t xml:space="preserve">) années </w:t>
      </w:r>
      <w:r w:rsidR="00D3432A" w:rsidRPr="00D3432A">
        <w:rPr>
          <w:rFonts w:ascii="Ilisarniq Regular" w:hAnsi="Ilisarniq Regular"/>
          <w:sz w:val="22"/>
          <w:szCs w:val="22"/>
          <w:lang w:val="fr-CA"/>
        </w:rPr>
        <w:t>d'expérience à titre d'enseignant ou de professionnel, dont au moins trois (3) dans l’enseignement</w:t>
      </w:r>
      <w:r w:rsidR="00D3432A">
        <w:rPr>
          <w:rFonts w:ascii="Ilisarniq Regular" w:hAnsi="Ilisarniq Regular"/>
          <w:sz w:val="22"/>
          <w:szCs w:val="22"/>
          <w:lang w:val="fr-CA"/>
        </w:rPr>
        <w:t> </w:t>
      </w:r>
      <w:r w:rsidR="00946842" w:rsidRPr="00580BDB">
        <w:rPr>
          <w:rFonts w:ascii="Ilisarniq Regular" w:hAnsi="Ilisarniq Regular"/>
          <w:sz w:val="22"/>
          <w:szCs w:val="22"/>
          <w:lang w:val="fr-CA"/>
        </w:rPr>
        <w:t>;</w:t>
      </w:r>
    </w:p>
    <w:p w14:paraId="30D635D5" w14:textId="77777777" w:rsidR="00946842" w:rsidRPr="00580BDB" w:rsidRDefault="00946842" w:rsidP="00946842">
      <w:pPr>
        <w:numPr>
          <w:ilvl w:val="0"/>
          <w:numId w:val="15"/>
        </w:numPr>
        <w:jc w:val="both"/>
        <w:rPr>
          <w:rFonts w:ascii="Ilisarniq Regular" w:hAnsi="Ilisarniq Regular"/>
          <w:sz w:val="22"/>
          <w:szCs w:val="22"/>
          <w:lang w:val="fr-CA"/>
        </w:rPr>
      </w:pPr>
      <w:r w:rsidRPr="00580BDB">
        <w:rPr>
          <w:rFonts w:ascii="Ilisarniq Regular" w:hAnsi="Ilisarniq Regular"/>
          <w:sz w:val="22"/>
          <w:szCs w:val="22"/>
          <w:lang w:val="fr-CA"/>
        </w:rPr>
        <w:t>Bilinguisme dans deux des trois langues de travail de la Commission (français, anglais, inuktitut);</w:t>
      </w:r>
    </w:p>
    <w:p w14:paraId="24DC0A0B" w14:textId="77777777" w:rsidR="00946842" w:rsidRPr="00580BDB" w:rsidRDefault="00946842" w:rsidP="00946842">
      <w:pPr>
        <w:numPr>
          <w:ilvl w:val="0"/>
          <w:numId w:val="15"/>
        </w:numPr>
        <w:jc w:val="both"/>
        <w:rPr>
          <w:rFonts w:ascii="Ilisarniq Regular" w:hAnsi="Ilisarniq Regular"/>
          <w:b/>
          <w:sz w:val="22"/>
          <w:szCs w:val="22"/>
          <w:lang w:val="fr-CA"/>
        </w:rPr>
      </w:pPr>
      <w:r w:rsidRPr="00580BDB">
        <w:rPr>
          <w:rFonts w:ascii="Ilisarniq Regular" w:hAnsi="Ilisarniq Regular"/>
          <w:sz w:val="22"/>
          <w:szCs w:val="22"/>
          <w:lang w:val="fr-CA"/>
        </w:rPr>
        <w:t>Expérience en direction dans un milieu pluriculturel sera considérée comme un atout.</w:t>
      </w:r>
    </w:p>
    <w:p w14:paraId="2879FD6C" w14:textId="77777777" w:rsidR="00946842" w:rsidRPr="00580BDB" w:rsidRDefault="00946842" w:rsidP="00946842">
      <w:pPr>
        <w:keepNext/>
        <w:spacing w:before="120" w:after="120"/>
        <w:jc w:val="both"/>
        <w:outlineLvl w:val="0"/>
        <w:rPr>
          <w:rFonts w:ascii="Ilisarniq Regular" w:hAnsi="Ilisarniq Regular"/>
          <w:b/>
          <w:sz w:val="22"/>
          <w:szCs w:val="22"/>
          <w:lang w:val="fr-CA"/>
        </w:rPr>
      </w:pPr>
      <w:r w:rsidRPr="00580BDB">
        <w:rPr>
          <w:rFonts w:ascii="Ilisarniq Regular" w:hAnsi="Ilisarniq Regular"/>
          <w:b/>
          <w:sz w:val="22"/>
          <w:szCs w:val="22"/>
          <w:lang w:val="fr-CA"/>
        </w:rPr>
        <w:t>CLASSIFICATION / SALAIRE / AVANTAGES SOCIAUX:</w:t>
      </w:r>
    </w:p>
    <w:p w14:paraId="6AFBDF44" w14:textId="1DC0F554" w:rsidR="00946842" w:rsidRPr="00580BDB" w:rsidRDefault="004A2164" w:rsidP="00946842">
      <w:pPr>
        <w:tabs>
          <w:tab w:val="left" w:pos="360"/>
        </w:tabs>
        <w:jc w:val="both"/>
        <w:rPr>
          <w:rFonts w:ascii="Ilisarniq Regular" w:hAnsi="Ilisarniq Regular"/>
          <w:sz w:val="22"/>
          <w:szCs w:val="22"/>
          <w:lang w:val="fr-CA"/>
        </w:rPr>
      </w:pPr>
      <w:r w:rsidRPr="004A2164">
        <w:rPr>
          <w:rFonts w:ascii="Ilisarniq Regular" w:hAnsi="Ilisarniq Regular"/>
          <w:sz w:val="22"/>
          <w:szCs w:val="22"/>
          <w:lang w:val="fr-CA"/>
        </w:rPr>
        <w:t>Classe 00-08 conformément aux conditions de travail des cadres de KI : de 84 166$ à 112 219$ annuellement selon la taille de l’école, les qualifications et l’expérience</w:t>
      </w:r>
      <w:r w:rsidR="00946842" w:rsidRPr="00580BDB">
        <w:rPr>
          <w:rFonts w:ascii="Ilisarniq Regular" w:hAnsi="Ilisarniq Regular"/>
          <w:sz w:val="22"/>
          <w:szCs w:val="22"/>
          <w:lang w:val="fr-CA"/>
        </w:rPr>
        <w:t>.</w:t>
      </w:r>
    </w:p>
    <w:p w14:paraId="5BB11509" w14:textId="77777777" w:rsidR="00946842" w:rsidRPr="00580BDB" w:rsidRDefault="00946842" w:rsidP="00946842">
      <w:pPr>
        <w:tabs>
          <w:tab w:val="left" w:pos="360"/>
        </w:tabs>
        <w:jc w:val="both"/>
        <w:rPr>
          <w:rFonts w:ascii="Ilisarniq Regular" w:hAnsi="Ilisarniq Regular"/>
          <w:sz w:val="22"/>
          <w:szCs w:val="22"/>
          <w:lang w:val="fr-CA"/>
        </w:rPr>
      </w:pPr>
    </w:p>
    <w:tbl>
      <w:tblPr>
        <w:tblW w:w="11109" w:type="dxa"/>
        <w:tblLook w:val="04A0" w:firstRow="1" w:lastRow="0" w:firstColumn="1" w:lastColumn="0" w:noHBand="0" w:noVBand="1"/>
      </w:tblPr>
      <w:tblGrid>
        <w:gridCol w:w="5529"/>
        <w:gridCol w:w="5580"/>
      </w:tblGrid>
      <w:tr w:rsidR="00946842" w:rsidRPr="00580BDB" w14:paraId="2A39C441" w14:textId="77777777" w:rsidTr="00FD7055">
        <w:tc>
          <w:tcPr>
            <w:tcW w:w="5529" w:type="dxa"/>
            <w:hideMark/>
          </w:tcPr>
          <w:p w14:paraId="3380D250" w14:textId="77777777" w:rsidR="00946842" w:rsidRPr="00580BDB" w:rsidRDefault="00946842" w:rsidP="009108B3">
            <w:pPr>
              <w:rPr>
                <w:rFonts w:ascii="Ilisarniq Regular" w:hAnsi="Ilisarniq Regular"/>
                <w:b/>
                <w:caps/>
                <w:sz w:val="22"/>
                <w:szCs w:val="22"/>
                <w:lang w:val="fr-CA"/>
              </w:rPr>
            </w:pPr>
            <w:r w:rsidRPr="00580BDB">
              <w:rPr>
                <w:rFonts w:ascii="Ilisarniq Regular" w:hAnsi="Ilisarniq Regular"/>
                <w:b/>
                <w:sz w:val="22"/>
                <w:szCs w:val="22"/>
                <w:lang w:val="fr-CA"/>
              </w:rPr>
              <w:t>En plus du salaire, vous pourriez être éligible à des avantages sociaux tels que</w:t>
            </w:r>
            <w:r w:rsidRPr="00580BDB">
              <w:rPr>
                <w:rFonts w:ascii="Ilisarniq Regular" w:hAnsi="Ilisarniq Regular"/>
                <w:b/>
                <w:caps/>
                <w:sz w:val="22"/>
                <w:szCs w:val="22"/>
                <w:lang w:val="fr-CA"/>
              </w:rPr>
              <w:t> :</w:t>
            </w:r>
          </w:p>
          <w:p w14:paraId="70110AF2" w14:textId="77777777" w:rsidR="00946842" w:rsidRPr="00580BDB" w:rsidRDefault="00946842" w:rsidP="009108B3">
            <w:pPr>
              <w:rPr>
                <w:rFonts w:ascii="Ilisarniq Regular" w:hAnsi="Ilisarniq Regular"/>
                <w:b/>
                <w:caps/>
                <w:sz w:val="22"/>
                <w:szCs w:val="22"/>
                <w:lang w:val="fr-CA"/>
              </w:rPr>
            </w:pPr>
          </w:p>
          <w:p w14:paraId="58DDD57B" w14:textId="77777777" w:rsidR="00946842" w:rsidRPr="00580BDB" w:rsidRDefault="00946842" w:rsidP="009108B3">
            <w:pPr>
              <w:numPr>
                <w:ilvl w:val="0"/>
                <w:numId w:val="1"/>
              </w:numPr>
              <w:ind w:left="612"/>
              <w:rPr>
                <w:rFonts w:ascii="Ilisarniq Regular" w:hAnsi="Ilisarniq Regular" w:cs="Arial"/>
                <w:sz w:val="22"/>
                <w:szCs w:val="22"/>
                <w:lang w:val="fr-CA"/>
              </w:rPr>
            </w:pPr>
            <w:r w:rsidRPr="00580BDB">
              <w:rPr>
                <w:rFonts w:ascii="Ilisarniq Regular" w:hAnsi="Ilisarniq Regular" w:cs="Arial"/>
                <w:sz w:val="22"/>
                <w:szCs w:val="22"/>
                <w:lang w:val="fr-CA"/>
              </w:rPr>
              <w:t>30 jours de vacances annuelles;</w:t>
            </w:r>
          </w:p>
          <w:p w14:paraId="5153BB5B" w14:textId="77777777" w:rsidR="00946842" w:rsidRPr="00580BDB" w:rsidRDefault="00946842" w:rsidP="009108B3">
            <w:pPr>
              <w:numPr>
                <w:ilvl w:val="0"/>
                <w:numId w:val="1"/>
              </w:numPr>
              <w:ind w:left="612"/>
              <w:rPr>
                <w:rFonts w:ascii="Ilisarniq Regular" w:hAnsi="Ilisarniq Regular" w:cs="Arial"/>
                <w:sz w:val="22"/>
                <w:szCs w:val="22"/>
                <w:lang w:val="fr-CA"/>
              </w:rPr>
            </w:pPr>
            <w:r w:rsidRPr="00580BDB">
              <w:rPr>
                <w:rFonts w:ascii="Ilisarniq Regular" w:hAnsi="Ilisarniq Regular" w:cs="Arial"/>
                <w:sz w:val="22"/>
                <w:szCs w:val="22"/>
                <w:lang w:val="fr-CA"/>
              </w:rPr>
              <w:t>Jusqu’à 10 jours de récupération;</w:t>
            </w:r>
          </w:p>
          <w:p w14:paraId="14476C93" w14:textId="148BED08" w:rsidR="00946842" w:rsidRPr="00580BDB" w:rsidRDefault="002C6583" w:rsidP="009108B3">
            <w:pPr>
              <w:numPr>
                <w:ilvl w:val="0"/>
                <w:numId w:val="1"/>
              </w:numPr>
              <w:ind w:left="612"/>
              <w:rPr>
                <w:rFonts w:ascii="Ilisarniq Regular" w:hAnsi="Ilisarniq Regular" w:cs="Arial"/>
                <w:b/>
                <w:sz w:val="22"/>
                <w:szCs w:val="22"/>
                <w:lang w:val="fr-CA"/>
              </w:rPr>
            </w:pPr>
            <w:r w:rsidRPr="00580BDB">
              <w:rPr>
                <w:rFonts w:ascii="Ilisarniq Regular" w:hAnsi="Ilisarniq Regular"/>
                <w:sz w:val="22"/>
                <w:szCs w:val="22"/>
                <w:lang w:val="fr-CA"/>
              </w:rPr>
              <w:t>Deux</w:t>
            </w:r>
            <w:r w:rsidR="00946842" w:rsidRPr="00580BDB">
              <w:rPr>
                <w:rFonts w:ascii="Ilisarniq Regular" w:hAnsi="Ilisarniq Regular"/>
                <w:sz w:val="22"/>
                <w:szCs w:val="22"/>
                <w:lang w:val="fr-CA"/>
              </w:rPr>
              <w:t xml:space="preserve"> semaines de congé pendant la période des fêtes;</w:t>
            </w:r>
          </w:p>
        </w:tc>
        <w:tc>
          <w:tcPr>
            <w:tcW w:w="5580" w:type="dxa"/>
          </w:tcPr>
          <w:p w14:paraId="131D0711" w14:textId="77777777" w:rsidR="00946842" w:rsidRPr="00580BDB" w:rsidRDefault="00946842" w:rsidP="009108B3">
            <w:pPr>
              <w:rPr>
                <w:rFonts w:ascii="Ilisarniq Regular" w:hAnsi="Ilisarniq Regular"/>
                <w:b/>
                <w:caps/>
                <w:sz w:val="22"/>
                <w:szCs w:val="22"/>
                <w:lang w:val="fr-CA"/>
              </w:rPr>
            </w:pPr>
            <w:r w:rsidRPr="00580BDB">
              <w:rPr>
                <w:rFonts w:ascii="Ilisarniq Regular" w:hAnsi="Ilisarniq Regular"/>
                <w:b/>
                <w:sz w:val="22"/>
                <w:szCs w:val="22"/>
                <w:lang w:val="fr-CA"/>
              </w:rPr>
              <w:t>Et, lorsqu’applicable, à d’autres avantages sociaux tels que</w:t>
            </w:r>
            <w:r w:rsidRPr="00580BDB">
              <w:rPr>
                <w:rFonts w:ascii="Ilisarniq Regular" w:hAnsi="Ilisarniq Regular"/>
                <w:b/>
                <w:caps/>
                <w:sz w:val="22"/>
                <w:szCs w:val="22"/>
                <w:lang w:val="fr-CA"/>
              </w:rPr>
              <w:t> :</w:t>
            </w:r>
          </w:p>
          <w:p w14:paraId="5BA4CB79" w14:textId="77777777" w:rsidR="00946842" w:rsidRPr="00580BDB" w:rsidRDefault="00946842" w:rsidP="009108B3">
            <w:pPr>
              <w:rPr>
                <w:rFonts w:ascii="Ilisarniq Regular" w:hAnsi="Ilisarniq Regular"/>
                <w:b/>
                <w:caps/>
                <w:sz w:val="22"/>
                <w:szCs w:val="22"/>
                <w:lang w:val="fr-CA"/>
              </w:rPr>
            </w:pPr>
          </w:p>
          <w:p w14:paraId="5C1ED8EA" w14:textId="1C1D21F5" w:rsidR="00946842" w:rsidRPr="00580BDB" w:rsidRDefault="00946842" w:rsidP="009108B3">
            <w:pPr>
              <w:numPr>
                <w:ilvl w:val="0"/>
                <w:numId w:val="1"/>
              </w:numPr>
              <w:ind w:left="972"/>
              <w:rPr>
                <w:rFonts w:ascii="Ilisarniq Regular" w:hAnsi="Ilisarniq Regular" w:cs="Arial"/>
                <w:sz w:val="22"/>
                <w:szCs w:val="22"/>
                <w:lang w:val="fr-CA"/>
              </w:rPr>
            </w:pPr>
            <w:r w:rsidRPr="00580BDB">
              <w:rPr>
                <w:rFonts w:ascii="Ilisarniq Regular" w:hAnsi="Ilisarniq Regular"/>
                <w:sz w:val="22"/>
                <w:szCs w:val="22"/>
                <w:lang w:val="fr-CA"/>
              </w:rPr>
              <w:t>Horaire d’été;</w:t>
            </w:r>
          </w:p>
          <w:p w14:paraId="267481CB" w14:textId="24AC7C63" w:rsidR="00946842" w:rsidRPr="00580BDB" w:rsidRDefault="00946842" w:rsidP="009108B3">
            <w:pPr>
              <w:pStyle w:val="ListParagraph"/>
              <w:numPr>
                <w:ilvl w:val="0"/>
                <w:numId w:val="1"/>
              </w:numPr>
              <w:ind w:left="972"/>
              <w:rPr>
                <w:rFonts w:ascii="Ilisarniq Regular" w:hAnsi="Ilisarniq Regular" w:cs="Arial"/>
                <w:sz w:val="22"/>
                <w:szCs w:val="22"/>
              </w:rPr>
            </w:pPr>
            <w:r w:rsidRPr="00580BDB">
              <w:rPr>
                <w:rFonts w:ascii="Ilisarniq Regular" w:hAnsi="Ilisarniq Regular" w:cs="Arial"/>
                <w:sz w:val="22"/>
                <w:szCs w:val="22"/>
              </w:rPr>
              <w:t>Logement;</w:t>
            </w:r>
          </w:p>
          <w:p w14:paraId="5EA41B17" w14:textId="082CA747" w:rsidR="00946842" w:rsidRPr="00580BDB" w:rsidRDefault="00946842" w:rsidP="009108B3">
            <w:pPr>
              <w:pStyle w:val="ListParagraph"/>
              <w:numPr>
                <w:ilvl w:val="0"/>
                <w:numId w:val="1"/>
              </w:numPr>
              <w:ind w:left="972"/>
              <w:rPr>
                <w:rFonts w:ascii="Ilisarniq Regular" w:hAnsi="Ilisarniq Regular" w:cs="Arial"/>
                <w:sz w:val="22"/>
                <w:szCs w:val="22"/>
              </w:rPr>
            </w:pPr>
            <w:r w:rsidRPr="00580BDB">
              <w:rPr>
                <w:rFonts w:ascii="Ilisarniq Regular" w:hAnsi="Ilisarniq Regular" w:cs="Arial"/>
                <w:sz w:val="22"/>
                <w:szCs w:val="22"/>
              </w:rPr>
              <w:t>Allocation nordique;</w:t>
            </w:r>
          </w:p>
          <w:p w14:paraId="58B03318" w14:textId="341A02F2" w:rsidR="00946842" w:rsidRPr="00580BDB" w:rsidRDefault="00946842" w:rsidP="009108B3">
            <w:pPr>
              <w:pStyle w:val="ListParagraph"/>
              <w:numPr>
                <w:ilvl w:val="0"/>
                <w:numId w:val="1"/>
              </w:numPr>
              <w:ind w:left="972"/>
              <w:rPr>
                <w:rFonts w:ascii="Ilisarniq Regular" w:hAnsi="Ilisarniq Regular" w:cs="Arial"/>
                <w:sz w:val="22"/>
                <w:szCs w:val="22"/>
              </w:rPr>
            </w:pPr>
            <w:r w:rsidRPr="00580BDB">
              <w:rPr>
                <w:rFonts w:ascii="Ilisarniq Regular" w:hAnsi="Ilisarniq Regular" w:cs="Arial"/>
                <w:sz w:val="22"/>
                <w:szCs w:val="22"/>
              </w:rPr>
              <w:t>Voyages sociaux;</w:t>
            </w:r>
          </w:p>
          <w:p w14:paraId="7AA51594" w14:textId="77777777" w:rsidR="00946842" w:rsidRPr="00580BDB" w:rsidRDefault="00946842" w:rsidP="009108B3">
            <w:pPr>
              <w:numPr>
                <w:ilvl w:val="0"/>
                <w:numId w:val="1"/>
              </w:numPr>
              <w:ind w:left="972"/>
              <w:rPr>
                <w:rFonts w:ascii="Ilisarniq Regular" w:hAnsi="Ilisarniq Regular" w:cs="Arial"/>
                <w:b/>
                <w:sz w:val="22"/>
                <w:szCs w:val="22"/>
                <w:lang w:val="fr-CA"/>
              </w:rPr>
            </w:pPr>
            <w:r w:rsidRPr="00580BDB">
              <w:rPr>
                <w:rFonts w:ascii="Ilisarniq Regular" w:hAnsi="Ilisarniq Regular" w:cs="Arial"/>
                <w:sz w:val="22"/>
                <w:szCs w:val="22"/>
                <w:lang w:val="fr-CA"/>
              </w:rPr>
              <w:t>Transport de nourriture.</w:t>
            </w:r>
          </w:p>
        </w:tc>
      </w:tr>
    </w:tbl>
    <w:p w14:paraId="40364947" w14:textId="4DCA39B0" w:rsidR="0002319C" w:rsidRPr="00580BDB" w:rsidRDefault="008B332C" w:rsidP="009C6A46">
      <w:pPr>
        <w:spacing w:before="200" w:after="120"/>
        <w:jc w:val="center"/>
        <w:rPr>
          <w:rFonts w:ascii="Ilisarniq Regular" w:hAnsi="Ilisarniq Regular" w:cs="Arial"/>
          <w:b/>
          <w:sz w:val="22"/>
          <w:szCs w:val="22"/>
          <w:lang w:val="fr-CA"/>
        </w:rPr>
      </w:pPr>
      <w:r w:rsidRPr="00580BDB">
        <w:rPr>
          <w:rFonts w:ascii="Ilisarniq Regular" w:hAnsi="Ilisarniq Regular" w:cs="Arial"/>
          <w:b/>
          <w:sz w:val="22"/>
          <w:szCs w:val="22"/>
          <w:lang w:val="fr-CA"/>
        </w:rPr>
        <w:t>Tous les avantages sociaux sont accordés au prorata de la tâche.</w:t>
      </w:r>
    </w:p>
    <w:tbl>
      <w:tblPr>
        <w:tblW w:w="0" w:type="auto"/>
        <w:tblInd w:w="1540" w:type="dxa"/>
        <w:shd w:val="clear" w:color="auto" w:fill="2E74B5"/>
        <w:tblLook w:val="04A0" w:firstRow="1" w:lastRow="0" w:firstColumn="1" w:lastColumn="0" w:noHBand="0" w:noVBand="1"/>
      </w:tblPr>
      <w:tblGrid>
        <w:gridCol w:w="900"/>
        <w:gridCol w:w="7341"/>
      </w:tblGrid>
      <w:tr w:rsidR="0002319C" w:rsidRPr="00C04488" w14:paraId="351D4DCC" w14:textId="77777777" w:rsidTr="008F3B8A">
        <w:trPr>
          <w:trHeight w:val="1759"/>
        </w:trPr>
        <w:tc>
          <w:tcPr>
            <w:tcW w:w="900" w:type="dxa"/>
            <w:shd w:val="clear" w:color="auto" w:fill="2E74B5"/>
            <w:hideMark/>
          </w:tcPr>
          <w:p w14:paraId="7DA5F152" w14:textId="77777777" w:rsidR="0002319C" w:rsidRPr="00580BDB" w:rsidRDefault="0002319C" w:rsidP="007178AC">
            <w:pPr>
              <w:tabs>
                <w:tab w:val="left" w:pos="2880"/>
              </w:tabs>
              <w:ind w:left="-11" w:right="-28"/>
              <w:rPr>
                <w:rFonts w:ascii="Ilisarniq Regular" w:hAnsi="Ilisarniq Regular"/>
                <w:b/>
                <w:noProof/>
                <w:color w:val="FFFFFF"/>
                <w:sz w:val="22"/>
                <w:szCs w:val="22"/>
              </w:rPr>
            </w:pPr>
            <w:r w:rsidRPr="00580BDB">
              <w:rPr>
                <w:rFonts w:ascii="Ilisarniq Regular" w:hAnsi="Ilisarniq Regular"/>
                <w:noProof/>
                <w:color w:val="FFFFFF"/>
                <w:sz w:val="22"/>
                <w:szCs w:val="22"/>
                <w:lang w:eastAsia="en-US"/>
              </w:rPr>
              <w:drawing>
                <wp:inline distT="0" distB="0" distL="0" distR="0" wp14:anchorId="403E5DC1" wp14:editId="67942D20">
                  <wp:extent cx="1433945" cy="228600"/>
                  <wp:effectExtent l="0" t="6985" r="6985" b="6985"/>
                  <wp:docPr id="4" name="Picture 4"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whites"/>
                          <pic:cNvPicPr>
                            <a:picLocks noChangeAspect="1" noChangeArrowheads="1"/>
                          </pic:cNvPicPr>
                        </pic:nvPicPr>
                        <pic:blipFill>
                          <a:blip r:embed="rId7">
                            <a:extLst>
                              <a:ext uri="{28A0092B-C50C-407E-A947-70E740481C1C}">
                                <a14:useLocalDpi xmlns:a14="http://schemas.microsoft.com/office/drawing/2010/main" val="0"/>
                              </a:ext>
                            </a:extLst>
                          </a:blip>
                          <a:srcRect r="13757" b="-11935"/>
                          <a:stretch>
                            <a:fillRect/>
                          </a:stretch>
                        </pic:blipFill>
                        <pic:spPr bwMode="auto">
                          <a:xfrm rot="16200000" flipH="1">
                            <a:off x="0" y="0"/>
                            <a:ext cx="1437629" cy="229187"/>
                          </a:xfrm>
                          <a:prstGeom prst="rect">
                            <a:avLst/>
                          </a:prstGeom>
                          <a:noFill/>
                          <a:ln>
                            <a:noFill/>
                          </a:ln>
                        </pic:spPr>
                      </pic:pic>
                    </a:graphicData>
                  </a:graphic>
                </wp:inline>
              </w:drawing>
            </w:r>
          </w:p>
        </w:tc>
        <w:tc>
          <w:tcPr>
            <w:tcW w:w="7341" w:type="dxa"/>
            <w:shd w:val="clear" w:color="auto" w:fill="2E74B5"/>
            <w:vAlign w:val="center"/>
            <w:hideMark/>
          </w:tcPr>
          <w:p w14:paraId="6227D065" w14:textId="3AF549CC" w:rsidR="0002319C" w:rsidRPr="008F3B8A" w:rsidRDefault="00870CE6" w:rsidP="002C31AC">
            <w:pPr>
              <w:spacing w:after="120"/>
              <w:jc w:val="both"/>
              <w:rPr>
                <w:rFonts w:ascii="Ilisarniq Bold" w:hAnsi="Ilisarniq Bold"/>
                <w:color w:val="FFFFFF" w:themeColor="background1"/>
                <w:sz w:val="22"/>
                <w:szCs w:val="22"/>
                <w:lang w:val="fr-CA"/>
              </w:rPr>
            </w:pPr>
            <w:r w:rsidRPr="008F3B8A">
              <w:rPr>
                <w:rFonts w:ascii="Ilisarniq Bold" w:hAnsi="Ilisarniq Bold"/>
                <w:b/>
                <w:bCs/>
                <w:color w:val="FFFFFF" w:themeColor="background1"/>
                <w:sz w:val="22"/>
                <w:szCs w:val="22"/>
                <w:lang w:val="fr-CA"/>
              </w:rPr>
              <w:t>DATE LIMITE POUR POSTULER : Ouvert jusqu’à ce que le poste soit comblé</w:t>
            </w:r>
          </w:p>
          <w:p w14:paraId="2C72AB67" w14:textId="77777777" w:rsidR="0002319C" w:rsidRPr="008F3B8A" w:rsidRDefault="0002319C" w:rsidP="002C31AC">
            <w:pPr>
              <w:spacing w:after="120"/>
              <w:jc w:val="both"/>
              <w:rPr>
                <w:rFonts w:ascii="Ilisarniq Bold" w:hAnsi="Ilisarniq Bold"/>
                <w:color w:val="FFFFFF" w:themeColor="background1"/>
                <w:sz w:val="22"/>
                <w:szCs w:val="22"/>
                <w:lang w:val="fr-CA"/>
              </w:rPr>
            </w:pPr>
            <w:r w:rsidRPr="008F3B8A">
              <w:rPr>
                <w:rFonts w:ascii="Ilisarniq Bold" w:hAnsi="Ilisarniq Bold"/>
                <w:color w:val="FFFFFF" w:themeColor="background1"/>
                <w:sz w:val="22"/>
                <w:szCs w:val="22"/>
                <w:lang w:val="fr-CA"/>
              </w:rPr>
              <w:t>Pour postuler, choisissez l'une des méthodes suivantes :</w:t>
            </w:r>
          </w:p>
          <w:p w14:paraId="462659CC" w14:textId="77777777" w:rsidR="0002319C" w:rsidRPr="008F3B8A" w:rsidRDefault="0002319C" w:rsidP="002C31AC">
            <w:pPr>
              <w:pStyle w:val="ListParagraph"/>
              <w:numPr>
                <w:ilvl w:val="0"/>
                <w:numId w:val="23"/>
              </w:numPr>
              <w:spacing w:after="120"/>
              <w:ind w:left="427" w:hanging="283"/>
              <w:jc w:val="both"/>
              <w:rPr>
                <w:rFonts w:ascii="Ilisarniq Bold" w:hAnsi="Ilisarniq Bold"/>
                <w:color w:val="FFFFFF" w:themeColor="background1"/>
                <w:sz w:val="22"/>
                <w:szCs w:val="22"/>
              </w:rPr>
            </w:pPr>
            <w:r w:rsidRPr="008F3B8A">
              <w:rPr>
                <w:rFonts w:ascii="Ilisarniq Bold" w:hAnsi="Ilisarniq Bold"/>
                <w:color w:val="FFFFFF" w:themeColor="background1"/>
                <w:sz w:val="22"/>
                <w:szCs w:val="22"/>
              </w:rPr>
              <w:t>Visitez notre site web carrière (</w:t>
            </w:r>
            <w:hyperlink r:id="rId8" w:history="1">
              <w:r w:rsidRPr="008F3B8A">
                <w:rPr>
                  <w:rStyle w:val="Hyperlink"/>
                  <w:rFonts w:ascii="Ilisarniq Bold" w:hAnsi="Ilisarniq Bold"/>
                  <w:b/>
                  <w:bCs/>
                  <w:color w:val="FFFFFF" w:themeColor="background1"/>
                  <w:sz w:val="22"/>
                  <w:szCs w:val="22"/>
                </w:rPr>
                <w:t>https://carriere.kativik.qc.ca/</w:t>
              </w:r>
            </w:hyperlink>
            <w:r w:rsidRPr="008F3B8A">
              <w:rPr>
                <w:rFonts w:ascii="Ilisarniq Bold" w:hAnsi="Ilisarniq Bold"/>
                <w:color w:val="FFFFFF" w:themeColor="background1"/>
                <w:sz w:val="22"/>
                <w:szCs w:val="22"/>
              </w:rPr>
              <w:t xml:space="preserve">) et cliquez sur “Postuler”, </w:t>
            </w:r>
            <w:proofErr w:type="gramStart"/>
            <w:r w:rsidRPr="008F3B8A">
              <w:rPr>
                <w:rFonts w:ascii="Ilisarniq Bold" w:hAnsi="Ilisarniq Bold"/>
                <w:color w:val="FFFFFF" w:themeColor="background1"/>
                <w:sz w:val="22"/>
                <w:szCs w:val="22"/>
              </w:rPr>
              <w:t>ou</w:t>
            </w:r>
            <w:proofErr w:type="gramEnd"/>
            <w:r w:rsidRPr="008F3B8A">
              <w:rPr>
                <w:rFonts w:ascii="Ilisarniq Bold" w:hAnsi="Ilisarniq Bold"/>
                <w:color w:val="FFFFFF" w:themeColor="background1"/>
                <w:sz w:val="22"/>
                <w:szCs w:val="22"/>
              </w:rPr>
              <w:t xml:space="preserve"> </w:t>
            </w:r>
          </w:p>
          <w:p w14:paraId="484FB69C" w14:textId="15EB3468" w:rsidR="0002319C" w:rsidRPr="00580BDB" w:rsidRDefault="0002319C" w:rsidP="002C31AC">
            <w:pPr>
              <w:pStyle w:val="ListParagraph"/>
              <w:numPr>
                <w:ilvl w:val="0"/>
                <w:numId w:val="23"/>
              </w:numPr>
              <w:spacing w:after="120"/>
              <w:ind w:left="427" w:hanging="283"/>
              <w:jc w:val="both"/>
              <w:rPr>
                <w:rFonts w:ascii="Ilisarniq Regular" w:hAnsi="Ilisarniq Regular"/>
                <w:color w:val="FFFFFF"/>
                <w:sz w:val="22"/>
                <w:szCs w:val="22"/>
              </w:rPr>
            </w:pPr>
            <w:r w:rsidRPr="008F3B8A">
              <w:rPr>
                <w:rFonts w:ascii="Ilisarniq Bold" w:hAnsi="Ilisarniq Bold"/>
                <w:color w:val="FFFFFF" w:themeColor="background1"/>
                <w:sz w:val="22"/>
                <w:szCs w:val="22"/>
              </w:rPr>
              <w:t xml:space="preserve">Envoyez votre CV à </w:t>
            </w:r>
            <w:hyperlink r:id="rId9" w:history="1">
              <w:r w:rsidRPr="008F3B8A">
                <w:rPr>
                  <w:rStyle w:val="Hyperlink"/>
                  <w:rFonts w:ascii="Ilisarniq Bold" w:hAnsi="Ilisarniq Bold"/>
                  <w:b/>
                  <w:bCs/>
                  <w:color w:val="FFFFFF" w:themeColor="background1"/>
                  <w:sz w:val="22"/>
                  <w:szCs w:val="22"/>
                </w:rPr>
                <w:t>applications@kativik.qc.ca</w:t>
              </w:r>
            </w:hyperlink>
            <w:r w:rsidRPr="008F3B8A">
              <w:rPr>
                <w:rFonts w:ascii="Ilisarniq Bold" w:hAnsi="Ilisarniq Bold"/>
                <w:color w:val="FFFFFF" w:themeColor="background1"/>
                <w:sz w:val="22"/>
                <w:szCs w:val="22"/>
              </w:rPr>
              <w:t xml:space="preserve"> et indiquez </w:t>
            </w:r>
            <w:r w:rsidR="00305433" w:rsidRPr="008F3B8A">
              <w:rPr>
                <w:rFonts w:ascii="Ilisarniq Bold" w:hAnsi="Ilisarniq Bold"/>
                <w:b/>
                <w:bCs/>
                <w:color w:val="FFFFFF" w:themeColor="background1"/>
                <w:sz w:val="22"/>
                <w:szCs w:val="22"/>
              </w:rPr>
              <w:t>SO</w:t>
            </w:r>
            <w:r w:rsidR="006138F7" w:rsidRPr="008F3B8A">
              <w:rPr>
                <w:rFonts w:ascii="Ilisarniq Bold" w:hAnsi="Ilisarniq Bold"/>
                <w:b/>
                <w:bCs/>
                <w:color w:val="FFFFFF" w:themeColor="background1"/>
                <w:sz w:val="22"/>
                <w:szCs w:val="22"/>
              </w:rPr>
              <w:t>VP</w:t>
            </w:r>
            <w:r w:rsidR="00305433" w:rsidRPr="008F3B8A">
              <w:rPr>
                <w:rFonts w:ascii="Ilisarniq Bold" w:hAnsi="Ilisarniq Bold"/>
                <w:b/>
                <w:bCs/>
                <w:color w:val="FFFFFF" w:themeColor="background1"/>
                <w:sz w:val="22"/>
                <w:szCs w:val="22"/>
              </w:rPr>
              <w:t>BANK2201-01</w:t>
            </w:r>
            <w:r w:rsidRPr="008F3B8A">
              <w:rPr>
                <w:rFonts w:ascii="Ilisarniq Bold" w:hAnsi="Ilisarniq Bold"/>
                <w:color w:val="FFFFFF" w:themeColor="background1"/>
                <w:sz w:val="22"/>
                <w:szCs w:val="22"/>
              </w:rPr>
              <w:t xml:space="preserve"> dans l'objet du courriel.</w:t>
            </w:r>
          </w:p>
        </w:tc>
      </w:tr>
    </w:tbl>
    <w:p w14:paraId="5E953EDC" w14:textId="77777777" w:rsidR="008F3B8A" w:rsidRDefault="008F3B8A" w:rsidP="008F3B8A">
      <w:pPr>
        <w:rPr>
          <w:rFonts w:ascii="Ilisarniq Regular" w:hAnsi="Ilisarniq Regular" w:cs="Arial"/>
          <w:b/>
          <w:sz w:val="20"/>
          <w:szCs w:val="20"/>
          <w:lang w:val="fr-CA"/>
        </w:rPr>
      </w:pPr>
    </w:p>
    <w:p w14:paraId="1325BEC4" w14:textId="3A941924" w:rsidR="00946842" w:rsidRPr="008F3B8A" w:rsidRDefault="008B332C" w:rsidP="009C6A46">
      <w:pPr>
        <w:jc w:val="center"/>
        <w:rPr>
          <w:rFonts w:ascii="Ilisarniq Regular" w:hAnsi="Ilisarniq Regular"/>
          <w:i/>
          <w:sz w:val="20"/>
          <w:szCs w:val="20"/>
          <w:lang w:val="fr-CA"/>
        </w:rPr>
      </w:pPr>
      <w:r w:rsidRPr="008F3B8A">
        <w:rPr>
          <w:rFonts w:ascii="Ilisarniq Regular" w:hAnsi="Ilisarniq Regular" w:cs="Arial"/>
          <w:b/>
          <w:sz w:val="20"/>
          <w:szCs w:val="20"/>
          <w:lang w:val="fr-CA"/>
        </w:rPr>
        <w:t>Nous communiquerons seulement avec les personnes dont nous aurons retenu la candidature.</w:t>
      </w:r>
    </w:p>
    <w:p w14:paraId="2A142F4F" w14:textId="42B1E488" w:rsidR="00946842" w:rsidRPr="008F3B8A" w:rsidRDefault="00946842" w:rsidP="009C6A46">
      <w:pPr>
        <w:jc w:val="center"/>
        <w:rPr>
          <w:rFonts w:ascii="Ilisarniq Regular" w:hAnsi="Ilisarniq Regular"/>
          <w:sz w:val="20"/>
          <w:szCs w:val="20"/>
          <w:lang w:val="fr-CA"/>
        </w:rPr>
      </w:pPr>
      <w:r w:rsidRPr="008F3B8A">
        <w:rPr>
          <w:rFonts w:ascii="Ilisarniq Regular" w:hAnsi="Ilisarniq Regular"/>
          <w:sz w:val="20"/>
          <w:szCs w:val="20"/>
          <w:lang w:val="fr-CA"/>
        </w:rPr>
        <w:t>*L’utilisation du masculin pour désigner le poste découle uniquement d’une volonté de simplification linguistique.</w:t>
      </w:r>
    </w:p>
    <w:p w14:paraId="3D9910AB" w14:textId="3421531A" w:rsidR="00946842" w:rsidRPr="00580BDB" w:rsidRDefault="00946842" w:rsidP="00946842">
      <w:pPr>
        <w:jc w:val="center"/>
        <w:rPr>
          <w:rFonts w:ascii="Ilisarniq Regular" w:hAnsi="Ilisarniq Regular"/>
          <w:sz w:val="22"/>
          <w:szCs w:val="22"/>
          <w:lang w:val="fr-CA"/>
        </w:rPr>
      </w:pPr>
    </w:p>
    <w:p w14:paraId="3BB85B13" w14:textId="2A8AB8E7" w:rsidR="00946842" w:rsidRPr="00580BDB" w:rsidRDefault="00946842" w:rsidP="0055014C">
      <w:pPr>
        <w:rPr>
          <w:rFonts w:ascii="Ilisarniq Regular" w:hAnsi="Ilisarniq Regular"/>
          <w:sz w:val="22"/>
          <w:szCs w:val="22"/>
          <w:lang w:val="fr-CA"/>
        </w:rPr>
      </w:pPr>
    </w:p>
    <w:p w14:paraId="5E793705" w14:textId="1B452702" w:rsidR="008E6B9C" w:rsidRPr="005F52E8" w:rsidRDefault="008E6B9C" w:rsidP="00946842">
      <w:pPr>
        <w:tabs>
          <w:tab w:val="right" w:pos="9180"/>
        </w:tabs>
        <w:rPr>
          <w:rFonts w:ascii="AiPaiNutaaq" w:hAnsi="AiPaiNutaaq"/>
          <w:sz w:val="20"/>
          <w:szCs w:val="20"/>
        </w:rPr>
      </w:pPr>
    </w:p>
    <w:sectPr w:rsidR="008E6B9C" w:rsidRPr="005F52E8" w:rsidSect="00FD7055">
      <w:pgSz w:w="12240" w:h="20160" w:code="5"/>
      <w:pgMar w:top="187" w:right="900" w:bottom="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NNunavik">
    <w:altName w:val="Courier New"/>
    <w:charset w:val="00"/>
    <w:family w:val="auto"/>
    <w:pitch w:val="variable"/>
    <w:sig w:usb0="00000000" w:usb1="00000000" w:usb2="00000000" w:usb3="00000000" w:csb0="00000001" w:csb1="00000000"/>
  </w:font>
  <w:font w:name="Ilisarniq Regular">
    <w:altName w:val="Calibri"/>
    <w:panose1 w:val="00000000000000000000"/>
    <w:charset w:val="00"/>
    <w:family w:val="modern"/>
    <w:notTrueType/>
    <w:pitch w:val="variable"/>
    <w:sig w:usb0="00000003" w:usb1="00000000" w:usb2="00000000" w:usb3="00000000" w:csb0="00000001" w:csb1="00000000"/>
  </w:font>
  <w:font w:name="Ilisarniq Bold">
    <w:altName w:val="Calibri"/>
    <w:panose1 w:val="00000000000000000000"/>
    <w:charset w:val="00"/>
    <w:family w:val="modern"/>
    <w:notTrueType/>
    <w:pitch w:val="variable"/>
    <w:sig w:usb0="00000003" w:usb1="00000000" w:usb2="00000000" w:usb3="00000000" w:csb0="00000001" w:csb1="00000000"/>
  </w:font>
  <w:font w:name="AiPaiNutaaq">
    <w:altName w:val="Gadugi"/>
    <w:charset w:val="00"/>
    <w:family w:val="swiss"/>
    <w:pitch w:val="variable"/>
    <w:sig w:usb0="800000AF" w:usb1="40002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169"/>
    <w:multiLevelType w:val="hybridMultilevel"/>
    <w:tmpl w:val="3F9C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BF1637"/>
    <w:multiLevelType w:val="hybridMultilevel"/>
    <w:tmpl w:val="D834D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C24479"/>
    <w:multiLevelType w:val="hybridMultilevel"/>
    <w:tmpl w:val="3F365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4058E9"/>
    <w:multiLevelType w:val="hybridMultilevel"/>
    <w:tmpl w:val="64A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3D49"/>
    <w:multiLevelType w:val="hybridMultilevel"/>
    <w:tmpl w:val="7C82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D13"/>
    <w:multiLevelType w:val="hybridMultilevel"/>
    <w:tmpl w:val="E34EED26"/>
    <w:lvl w:ilvl="0" w:tplc="6EDA2F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E0725"/>
    <w:multiLevelType w:val="hybridMultilevel"/>
    <w:tmpl w:val="844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C09F8"/>
    <w:multiLevelType w:val="hybridMultilevel"/>
    <w:tmpl w:val="4E7C7C2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40A94CAA"/>
    <w:multiLevelType w:val="hybridMultilevel"/>
    <w:tmpl w:val="A052EB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F86676"/>
    <w:multiLevelType w:val="hybridMultilevel"/>
    <w:tmpl w:val="0BE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1076D"/>
    <w:multiLevelType w:val="hybridMultilevel"/>
    <w:tmpl w:val="FEB060B8"/>
    <w:lvl w:ilvl="0" w:tplc="DFF436DE">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15:restartNumberingAfterBreak="0">
    <w:nsid w:val="4C21533C"/>
    <w:multiLevelType w:val="hybridMultilevel"/>
    <w:tmpl w:val="A9E07E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D4D38EC"/>
    <w:multiLevelType w:val="hybridMultilevel"/>
    <w:tmpl w:val="CCB24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47263FE"/>
    <w:multiLevelType w:val="hybridMultilevel"/>
    <w:tmpl w:val="7C8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625B49"/>
    <w:multiLevelType w:val="hybridMultilevel"/>
    <w:tmpl w:val="9078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F2148"/>
    <w:multiLevelType w:val="hybridMultilevel"/>
    <w:tmpl w:val="187A6A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1F54EB4"/>
    <w:multiLevelType w:val="hybridMultilevel"/>
    <w:tmpl w:val="4FC22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5681A"/>
    <w:multiLevelType w:val="hybridMultilevel"/>
    <w:tmpl w:val="F9E20554"/>
    <w:lvl w:ilvl="0" w:tplc="B13E31F8">
      <w:start w:val="1"/>
      <w:numFmt w:val="bullet"/>
      <w:lvlText w:val=""/>
      <w:lvlJc w:val="left"/>
      <w:pPr>
        <w:ind w:left="630" w:hanging="360"/>
      </w:pPr>
      <w:rPr>
        <w:rFonts w:ascii="Symbol" w:hAnsi="Symbol" w:hint="default"/>
        <w:lang w:val="fr-CA"/>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662B3E7B"/>
    <w:multiLevelType w:val="hybridMultilevel"/>
    <w:tmpl w:val="57061A2A"/>
    <w:lvl w:ilvl="0" w:tplc="04090001">
      <w:start w:val="1"/>
      <w:numFmt w:val="bullet"/>
      <w:lvlText w:val=""/>
      <w:lvlJc w:val="left"/>
      <w:pPr>
        <w:ind w:left="630" w:hanging="360"/>
      </w:pPr>
      <w:rPr>
        <w:rFonts w:ascii="Symbol" w:hAnsi="Symbol" w:hint="default"/>
        <w:lang w:val="fr-CA"/>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6A436873"/>
    <w:multiLevelType w:val="hybridMultilevel"/>
    <w:tmpl w:val="8B4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F0DD1"/>
    <w:multiLevelType w:val="hybridMultilevel"/>
    <w:tmpl w:val="7C82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41502"/>
    <w:multiLevelType w:val="hybridMultilevel"/>
    <w:tmpl w:val="2C7C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C5682"/>
    <w:multiLevelType w:val="hybridMultilevel"/>
    <w:tmpl w:val="117E57D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22"/>
  </w:num>
  <w:num w:numId="6">
    <w:abstractNumId w:val="3"/>
  </w:num>
  <w:num w:numId="7">
    <w:abstractNumId w:val="19"/>
  </w:num>
  <w:num w:numId="8">
    <w:abstractNumId w:val="5"/>
  </w:num>
  <w:num w:numId="9">
    <w:abstractNumId w:val="6"/>
  </w:num>
  <w:num w:numId="10">
    <w:abstractNumId w:val="18"/>
  </w:num>
  <w:num w:numId="11">
    <w:abstractNumId w:val="12"/>
  </w:num>
  <w:num w:numId="12">
    <w:abstractNumId w:val="1"/>
  </w:num>
  <w:num w:numId="13">
    <w:abstractNumId w:val="14"/>
  </w:num>
  <w:num w:numId="14">
    <w:abstractNumId w:val="2"/>
  </w:num>
  <w:num w:numId="15">
    <w:abstractNumId w:val="15"/>
  </w:num>
  <w:num w:numId="16">
    <w:abstractNumId w:val="10"/>
  </w:num>
  <w:num w:numId="17">
    <w:abstractNumId w:val="0"/>
  </w:num>
  <w:num w:numId="18">
    <w:abstractNumId w:val="16"/>
  </w:num>
  <w:num w:numId="19">
    <w:abstractNumId w:val="11"/>
  </w:num>
  <w:num w:numId="20">
    <w:abstractNumId w:val="8"/>
  </w:num>
  <w:num w:numId="21">
    <w:abstractNumId w:val="20"/>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t7QwNbc0MDM0MTdS0lEKTi0uzszPAykwqwUAiUTBzSwAAAA="/>
  </w:docVars>
  <w:rsids>
    <w:rsidRoot w:val="001F54C4"/>
    <w:rsid w:val="00004907"/>
    <w:rsid w:val="00021656"/>
    <w:rsid w:val="0002319C"/>
    <w:rsid w:val="0002609C"/>
    <w:rsid w:val="00030043"/>
    <w:rsid w:val="00032DDE"/>
    <w:rsid w:val="00033439"/>
    <w:rsid w:val="00043F10"/>
    <w:rsid w:val="000508F6"/>
    <w:rsid w:val="00057228"/>
    <w:rsid w:val="000A3E2A"/>
    <w:rsid w:val="000A4298"/>
    <w:rsid w:val="000B1379"/>
    <w:rsid w:val="000B47D7"/>
    <w:rsid w:val="000C51D9"/>
    <w:rsid w:val="000D2510"/>
    <w:rsid w:val="000D2795"/>
    <w:rsid w:val="000E3781"/>
    <w:rsid w:val="000F7770"/>
    <w:rsid w:val="00123FEF"/>
    <w:rsid w:val="001255E7"/>
    <w:rsid w:val="001431A3"/>
    <w:rsid w:val="00146652"/>
    <w:rsid w:val="0015343B"/>
    <w:rsid w:val="00177B45"/>
    <w:rsid w:val="00182785"/>
    <w:rsid w:val="00183C2D"/>
    <w:rsid w:val="001A429A"/>
    <w:rsid w:val="001A43F1"/>
    <w:rsid w:val="001C175A"/>
    <w:rsid w:val="001C5B13"/>
    <w:rsid w:val="001C71A1"/>
    <w:rsid w:val="001D4ABE"/>
    <w:rsid w:val="001F4A81"/>
    <w:rsid w:val="001F54C4"/>
    <w:rsid w:val="001F5D3F"/>
    <w:rsid w:val="0022043F"/>
    <w:rsid w:val="0023032C"/>
    <w:rsid w:val="00245594"/>
    <w:rsid w:val="002726C5"/>
    <w:rsid w:val="00273EB6"/>
    <w:rsid w:val="0029002A"/>
    <w:rsid w:val="00291237"/>
    <w:rsid w:val="00297461"/>
    <w:rsid w:val="002A7461"/>
    <w:rsid w:val="002C31AC"/>
    <w:rsid w:val="002C6583"/>
    <w:rsid w:val="002C7EF9"/>
    <w:rsid w:val="002D459C"/>
    <w:rsid w:val="002E106E"/>
    <w:rsid w:val="002F3B85"/>
    <w:rsid w:val="003021FD"/>
    <w:rsid w:val="00304EEB"/>
    <w:rsid w:val="00305433"/>
    <w:rsid w:val="003124DE"/>
    <w:rsid w:val="00320D5C"/>
    <w:rsid w:val="0033406F"/>
    <w:rsid w:val="00334FCA"/>
    <w:rsid w:val="00346793"/>
    <w:rsid w:val="003732E0"/>
    <w:rsid w:val="003755AF"/>
    <w:rsid w:val="00381A42"/>
    <w:rsid w:val="00394C44"/>
    <w:rsid w:val="00394C8F"/>
    <w:rsid w:val="003977D7"/>
    <w:rsid w:val="00397CE4"/>
    <w:rsid w:val="003A43CE"/>
    <w:rsid w:val="003D12DB"/>
    <w:rsid w:val="004426C2"/>
    <w:rsid w:val="00461026"/>
    <w:rsid w:val="00465FA8"/>
    <w:rsid w:val="004675EF"/>
    <w:rsid w:val="00483A31"/>
    <w:rsid w:val="004A2164"/>
    <w:rsid w:val="004A5FD5"/>
    <w:rsid w:val="004B0CAB"/>
    <w:rsid w:val="004B43D3"/>
    <w:rsid w:val="004C08CE"/>
    <w:rsid w:val="004C4603"/>
    <w:rsid w:val="004D2F0E"/>
    <w:rsid w:val="004D67E8"/>
    <w:rsid w:val="004F560B"/>
    <w:rsid w:val="00510812"/>
    <w:rsid w:val="005169E4"/>
    <w:rsid w:val="00522F68"/>
    <w:rsid w:val="00535F25"/>
    <w:rsid w:val="0055014C"/>
    <w:rsid w:val="00564F40"/>
    <w:rsid w:val="00580BDB"/>
    <w:rsid w:val="00587C2D"/>
    <w:rsid w:val="005C0250"/>
    <w:rsid w:val="005C4DB2"/>
    <w:rsid w:val="005D6F29"/>
    <w:rsid w:val="005D7CAC"/>
    <w:rsid w:val="005E0FF9"/>
    <w:rsid w:val="005F1FBE"/>
    <w:rsid w:val="005F52E8"/>
    <w:rsid w:val="005F6EB6"/>
    <w:rsid w:val="00600157"/>
    <w:rsid w:val="006021BD"/>
    <w:rsid w:val="006030DF"/>
    <w:rsid w:val="00604731"/>
    <w:rsid w:val="00606E94"/>
    <w:rsid w:val="006138F7"/>
    <w:rsid w:val="006166B8"/>
    <w:rsid w:val="006250A6"/>
    <w:rsid w:val="006352F8"/>
    <w:rsid w:val="006700A4"/>
    <w:rsid w:val="00695F85"/>
    <w:rsid w:val="006C567E"/>
    <w:rsid w:val="006C6891"/>
    <w:rsid w:val="006D6A83"/>
    <w:rsid w:val="006E0E65"/>
    <w:rsid w:val="006E4C8D"/>
    <w:rsid w:val="006F3CF7"/>
    <w:rsid w:val="00702FEC"/>
    <w:rsid w:val="00710FB9"/>
    <w:rsid w:val="00711A84"/>
    <w:rsid w:val="00740120"/>
    <w:rsid w:val="00742D10"/>
    <w:rsid w:val="007438EF"/>
    <w:rsid w:val="00746A24"/>
    <w:rsid w:val="00752DE3"/>
    <w:rsid w:val="0076201E"/>
    <w:rsid w:val="00763A75"/>
    <w:rsid w:val="0076647E"/>
    <w:rsid w:val="00772500"/>
    <w:rsid w:val="00793D07"/>
    <w:rsid w:val="007E528D"/>
    <w:rsid w:val="00803EAC"/>
    <w:rsid w:val="00805D08"/>
    <w:rsid w:val="008173D6"/>
    <w:rsid w:val="008232FE"/>
    <w:rsid w:val="00826E93"/>
    <w:rsid w:val="008300A6"/>
    <w:rsid w:val="00834469"/>
    <w:rsid w:val="008344DB"/>
    <w:rsid w:val="00855CB5"/>
    <w:rsid w:val="00867964"/>
    <w:rsid w:val="00870CE6"/>
    <w:rsid w:val="00891DC8"/>
    <w:rsid w:val="008A1D61"/>
    <w:rsid w:val="008A701A"/>
    <w:rsid w:val="008B21E4"/>
    <w:rsid w:val="008B332C"/>
    <w:rsid w:val="008C1629"/>
    <w:rsid w:val="008C28EE"/>
    <w:rsid w:val="008C2B8D"/>
    <w:rsid w:val="008E6B9C"/>
    <w:rsid w:val="008E75BB"/>
    <w:rsid w:val="008F3B8A"/>
    <w:rsid w:val="009105EA"/>
    <w:rsid w:val="00917424"/>
    <w:rsid w:val="0091748B"/>
    <w:rsid w:val="00921F52"/>
    <w:rsid w:val="00922D54"/>
    <w:rsid w:val="009267BD"/>
    <w:rsid w:val="00932154"/>
    <w:rsid w:val="009328FA"/>
    <w:rsid w:val="00946842"/>
    <w:rsid w:val="009516ED"/>
    <w:rsid w:val="00960F0B"/>
    <w:rsid w:val="00981714"/>
    <w:rsid w:val="009B0996"/>
    <w:rsid w:val="009B437A"/>
    <w:rsid w:val="009C6A46"/>
    <w:rsid w:val="009D36F2"/>
    <w:rsid w:val="009F49C1"/>
    <w:rsid w:val="009F4F50"/>
    <w:rsid w:val="00A00BBD"/>
    <w:rsid w:val="00A301FA"/>
    <w:rsid w:val="00A330DE"/>
    <w:rsid w:val="00A45E4F"/>
    <w:rsid w:val="00A52660"/>
    <w:rsid w:val="00A62586"/>
    <w:rsid w:val="00A81DB0"/>
    <w:rsid w:val="00A856CC"/>
    <w:rsid w:val="00AA490B"/>
    <w:rsid w:val="00AB27C1"/>
    <w:rsid w:val="00AE7318"/>
    <w:rsid w:val="00AF2347"/>
    <w:rsid w:val="00B36212"/>
    <w:rsid w:val="00B44452"/>
    <w:rsid w:val="00B75B94"/>
    <w:rsid w:val="00B82473"/>
    <w:rsid w:val="00BB60B7"/>
    <w:rsid w:val="00BC21A3"/>
    <w:rsid w:val="00BC5BE1"/>
    <w:rsid w:val="00BD4229"/>
    <w:rsid w:val="00BE13A1"/>
    <w:rsid w:val="00BE4349"/>
    <w:rsid w:val="00C04488"/>
    <w:rsid w:val="00C07CE8"/>
    <w:rsid w:val="00C158BD"/>
    <w:rsid w:val="00C167C8"/>
    <w:rsid w:val="00C20AB4"/>
    <w:rsid w:val="00C214E2"/>
    <w:rsid w:val="00C32932"/>
    <w:rsid w:val="00C35F73"/>
    <w:rsid w:val="00C539EC"/>
    <w:rsid w:val="00C551B5"/>
    <w:rsid w:val="00C60ED0"/>
    <w:rsid w:val="00C62FEC"/>
    <w:rsid w:val="00C7679A"/>
    <w:rsid w:val="00C805D1"/>
    <w:rsid w:val="00C86359"/>
    <w:rsid w:val="00C966F2"/>
    <w:rsid w:val="00CB4404"/>
    <w:rsid w:val="00CB4BEE"/>
    <w:rsid w:val="00CB55FC"/>
    <w:rsid w:val="00CC3421"/>
    <w:rsid w:val="00CD0D20"/>
    <w:rsid w:val="00CD472E"/>
    <w:rsid w:val="00CE72C1"/>
    <w:rsid w:val="00CF575A"/>
    <w:rsid w:val="00D00AE8"/>
    <w:rsid w:val="00D05DBB"/>
    <w:rsid w:val="00D15AA9"/>
    <w:rsid w:val="00D3305B"/>
    <w:rsid w:val="00D3432A"/>
    <w:rsid w:val="00D34E48"/>
    <w:rsid w:val="00D4207E"/>
    <w:rsid w:val="00D57F35"/>
    <w:rsid w:val="00D604E9"/>
    <w:rsid w:val="00D87DB5"/>
    <w:rsid w:val="00D93B54"/>
    <w:rsid w:val="00D9686A"/>
    <w:rsid w:val="00DC0727"/>
    <w:rsid w:val="00DC1BDB"/>
    <w:rsid w:val="00DD4F76"/>
    <w:rsid w:val="00DD53F6"/>
    <w:rsid w:val="00DE0B84"/>
    <w:rsid w:val="00DE184D"/>
    <w:rsid w:val="00DE4EAB"/>
    <w:rsid w:val="00DF01A0"/>
    <w:rsid w:val="00DF2523"/>
    <w:rsid w:val="00DF4A4E"/>
    <w:rsid w:val="00DF5765"/>
    <w:rsid w:val="00E31C06"/>
    <w:rsid w:val="00E33105"/>
    <w:rsid w:val="00E41F4C"/>
    <w:rsid w:val="00E53D44"/>
    <w:rsid w:val="00E70502"/>
    <w:rsid w:val="00E906C6"/>
    <w:rsid w:val="00EA76DB"/>
    <w:rsid w:val="00EB085C"/>
    <w:rsid w:val="00EB1499"/>
    <w:rsid w:val="00EC4869"/>
    <w:rsid w:val="00ED0113"/>
    <w:rsid w:val="00ED0391"/>
    <w:rsid w:val="00ED47C1"/>
    <w:rsid w:val="00ED54F4"/>
    <w:rsid w:val="00EF4C90"/>
    <w:rsid w:val="00F06D09"/>
    <w:rsid w:val="00F11C7A"/>
    <w:rsid w:val="00F817FB"/>
    <w:rsid w:val="00FC6F82"/>
    <w:rsid w:val="00FC74ED"/>
    <w:rsid w:val="00FD3EB9"/>
    <w:rsid w:val="00FD40EA"/>
    <w:rsid w:val="00FD5606"/>
    <w:rsid w:val="00FD7055"/>
    <w:rsid w:val="00FE53B0"/>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64E4"/>
  <w15:docId w15:val="{B586A30C-CEA4-4802-B5CB-BCFFE37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8B"/>
    <w:rPr>
      <w:rFonts w:ascii="Helvetica" w:eastAsia="Times New Roman" w:hAnsi="Helvetica"/>
      <w:sz w:val="24"/>
      <w:szCs w:val="24"/>
      <w:lang w:eastAsia="fr-CA"/>
    </w:rPr>
  </w:style>
  <w:style w:type="paragraph" w:styleId="Heading1">
    <w:name w:val="heading 1"/>
    <w:basedOn w:val="Normal"/>
    <w:next w:val="Normal"/>
    <w:link w:val="Heading1Char"/>
    <w:qFormat/>
    <w:rsid w:val="0091748B"/>
    <w:pPr>
      <w:keepNext/>
      <w:tabs>
        <w:tab w:val="left" w:pos="3600"/>
      </w:tabs>
      <w:outlineLvl w:val="0"/>
    </w:pPr>
    <w:rPr>
      <w:i/>
      <w:iCs/>
    </w:rPr>
  </w:style>
  <w:style w:type="paragraph" w:styleId="Heading2">
    <w:name w:val="heading 2"/>
    <w:basedOn w:val="Normal"/>
    <w:next w:val="Normal"/>
    <w:link w:val="Heading2Char"/>
    <w:uiPriority w:val="9"/>
    <w:unhideWhenUsed/>
    <w:qFormat/>
    <w:rsid w:val="00763A75"/>
    <w:pPr>
      <w:keepNext/>
      <w:outlineLvl w:val="1"/>
    </w:pPr>
    <w:rPr>
      <w:rFonts w:ascii="Arial" w:hAnsi="Arial"/>
      <w:b/>
      <w:sz w:val="20"/>
      <w:szCs w:val="20"/>
      <w:lang w:val="fr-CA"/>
    </w:rPr>
  </w:style>
  <w:style w:type="paragraph" w:styleId="Heading3">
    <w:name w:val="heading 3"/>
    <w:basedOn w:val="Normal"/>
    <w:next w:val="Normal"/>
    <w:link w:val="Heading3Char"/>
    <w:uiPriority w:val="9"/>
    <w:unhideWhenUsed/>
    <w:qFormat/>
    <w:rsid w:val="00805D08"/>
    <w:pPr>
      <w:keepNext/>
      <w:outlineLvl w:val="2"/>
    </w:pPr>
    <w:rPr>
      <w:rFonts w:ascii="Arial" w:hAnsi="Arial"/>
      <w:b/>
      <w:caps/>
      <w:color w:val="1F497D"/>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48B"/>
    <w:rPr>
      <w:rFonts w:ascii="Helvetica" w:eastAsia="Times New Roman" w:hAnsi="Helvetica" w:cs="Times New Roman"/>
      <w:i/>
      <w:iCs/>
      <w:sz w:val="24"/>
      <w:szCs w:val="24"/>
      <w:lang w:eastAsia="fr-CA"/>
    </w:rPr>
  </w:style>
  <w:style w:type="paragraph" w:styleId="Header">
    <w:name w:val="header"/>
    <w:basedOn w:val="Normal"/>
    <w:link w:val="HeaderChar"/>
    <w:unhideWhenUsed/>
    <w:rsid w:val="0091748B"/>
    <w:pPr>
      <w:tabs>
        <w:tab w:val="center" w:pos="4320"/>
        <w:tab w:val="right" w:pos="8640"/>
      </w:tabs>
    </w:pPr>
  </w:style>
  <w:style w:type="character" w:customStyle="1" w:styleId="HeaderChar">
    <w:name w:val="Header Char"/>
    <w:link w:val="Header"/>
    <w:rsid w:val="0091748B"/>
    <w:rPr>
      <w:rFonts w:ascii="Helvetica" w:eastAsia="Times New Roman" w:hAnsi="Helvetica" w:cs="Times New Roman"/>
      <w:sz w:val="24"/>
      <w:szCs w:val="24"/>
      <w:lang w:eastAsia="fr-CA"/>
    </w:rPr>
  </w:style>
  <w:style w:type="paragraph" w:styleId="Footer">
    <w:name w:val="footer"/>
    <w:basedOn w:val="Normal"/>
    <w:link w:val="FooterChar"/>
    <w:unhideWhenUsed/>
    <w:rsid w:val="0091748B"/>
    <w:pPr>
      <w:tabs>
        <w:tab w:val="center" w:pos="4320"/>
        <w:tab w:val="right" w:pos="8640"/>
      </w:tabs>
    </w:pPr>
  </w:style>
  <w:style w:type="character" w:customStyle="1" w:styleId="FooterChar">
    <w:name w:val="Footer Char"/>
    <w:link w:val="Footer"/>
    <w:rsid w:val="0091748B"/>
    <w:rPr>
      <w:rFonts w:ascii="Helvetica" w:eastAsia="Times New Roman" w:hAnsi="Helvetica" w:cs="Times New Roman"/>
      <w:sz w:val="24"/>
      <w:szCs w:val="24"/>
      <w:lang w:eastAsia="fr-CA"/>
    </w:rPr>
  </w:style>
  <w:style w:type="paragraph" w:styleId="BalloonText">
    <w:name w:val="Balloon Text"/>
    <w:basedOn w:val="Normal"/>
    <w:link w:val="BalloonTextChar"/>
    <w:uiPriority w:val="99"/>
    <w:semiHidden/>
    <w:unhideWhenUsed/>
    <w:rsid w:val="0091748B"/>
    <w:rPr>
      <w:rFonts w:ascii="Tahoma" w:hAnsi="Tahoma" w:cs="Tahoma"/>
      <w:sz w:val="16"/>
      <w:szCs w:val="16"/>
    </w:rPr>
  </w:style>
  <w:style w:type="character" w:customStyle="1" w:styleId="BalloonTextChar">
    <w:name w:val="Balloon Text Char"/>
    <w:link w:val="BalloonText"/>
    <w:uiPriority w:val="99"/>
    <w:semiHidden/>
    <w:rsid w:val="0091748B"/>
    <w:rPr>
      <w:rFonts w:ascii="Tahoma" w:eastAsia="Times New Roman" w:hAnsi="Tahoma" w:cs="Tahoma"/>
      <w:sz w:val="16"/>
      <w:szCs w:val="16"/>
      <w:lang w:eastAsia="fr-CA"/>
    </w:rPr>
  </w:style>
  <w:style w:type="table" w:styleId="TableGrid">
    <w:name w:val="Table Grid"/>
    <w:basedOn w:val="TableNormal"/>
    <w:rsid w:val="006E4C8D"/>
    <w:rPr>
      <w:rFonts w:ascii="New York" w:eastAsia="Times New Roman" w:hAnsi="New York"/>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63A75"/>
    <w:rPr>
      <w:rFonts w:eastAsia="Times New Roman"/>
      <w:b/>
      <w:lang w:val="fr-CA" w:eastAsia="fr-CA"/>
    </w:rPr>
  </w:style>
  <w:style w:type="paragraph" w:customStyle="1" w:styleId="item">
    <w:name w:val="item"/>
    <w:basedOn w:val="Normal"/>
    <w:rsid w:val="00177B45"/>
    <w:pPr>
      <w:tabs>
        <w:tab w:val="left" w:pos="3260"/>
      </w:tabs>
      <w:ind w:left="3620" w:hanging="3620"/>
    </w:pPr>
    <w:rPr>
      <w:sz w:val="20"/>
      <w:szCs w:val="20"/>
      <w:lang w:val="fr-CA"/>
    </w:rPr>
  </w:style>
  <w:style w:type="paragraph" w:styleId="ListParagraph">
    <w:name w:val="List Paragraph"/>
    <w:basedOn w:val="Normal"/>
    <w:uiPriority w:val="34"/>
    <w:qFormat/>
    <w:rsid w:val="00A81DB0"/>
    <w:pPr>
      <w:ind w:left="720"/>
      <w:contextualSpacing/>
    </w:pPr>
    <w:rPr>
      <w:szCs w:val="20"/>
      <w:lang w:val="fr-CA"/>
    </w:rPr>
  </w:style>
  <w:style w:type="character" w:customStyle="1" w:styleId="Heading3Char">
    <w:name w:val="Heading 3 Char"/>
    <w:link w:val="Heading3"/>
    <w:uiPriority w:val="9"/>
    <w:rsid w:val="00805D08"/>
    <w:rPr>
      <w:rFonts w:eastAsia="Times New Roman"/>
      <w:b/>
      <w:caps/>
      <w:color w:val="1F497D"/>
      <w:sz w:val="22"/>
      <w:szCs w:val="22"/>
      <w:lang w:val="fr-CA" w:eastAsia="fr-CA"/>
    </w:rPr>
  </w:style>
  <w:style w:type="character" w:styleId="Hyperlink">
    <w:name w:val="Hyperlink"/>
    <w:basedOn w:val="DefaultParagraphFont"/>
    <w:uiPriority w:val="99"/>
    <w:unhideWhenUsed/>
    <w:rsid w:val="008B21E4"/>
    <w:rPr>
      <w:color w:val="0000FF" w:themeColor="hyperlink"/>
      <w:u w:val="single"/>
    </w:rPr>
  </w:style>
  <w:style w:type="paragraph" w:styleId="BodyText2">
    <w:name w:val="Body Text 2"/>
    <w:basedOn w:val="Normal"/>
    <w:link w:val="BodyText2Char"/>
    <w:rsid w:val="008E6B9C"/>
    <w:rPr>
      <w:rFonts w:ascii="NNunavik" w:hAnsi="NNunavik"/>
      <w:sz w:val="20"/>
      <w:szCs w:val="20"/>
    </w:rPr>
  </w:style>
  <w:style w:type="character" w:customStyle="1" w:styleId="BodyText2Char">
    <w:name w:val="Body Text 2 Char"/>
    <w:basedOn w:val="DefaultParagraphFont"/>
    <w:link w:val="BodyText2"/>
    <w:rsid w:val="008E6B9C"/>
    <w:rPr>
      <w:rFonts w:ascii="NNunavik" w:eastAsia="Times New Roman" w:hAnsi="NNunavik"/>
      <w:lang w:eastAsia="fr-CA"/>
    </w:rPr>
  </w:style>
  <w:style w:type="table" w:styleId="TableList3">
    <w:name w:val="Table List 3"/>
    <w:basedOn w:val="TableNormal"/>
    <w:rsid w:val="00B36212"/>
    <w:rPr>
      <w:rFonts w:ascii="New York" w:eastAsia="Times New Roman" w:hAnsi="New York"/>
      <w:lang w:val="en-CA"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465">
      <w:bodyDiv w:val="1"/>
      <w:marLeft w:val="0"/>
      <w:marRight w:val="0"/>
      <w:marTop w:val="0"/>
      <w:marBottom w:val="0"/>
      <w:divBdr>
        <w:top w:val="none" w:sz="0" w:space="0" w:color="auto"/>
        <w:left w:val="none" w:sz="0" w:space="0" w:color="auto"/>
        <w:bottom w:val="none" w:sz="0" w:space="0" w:color="auto"/>
        <w:right w:val="none" w:sz="0" w:space="0" w:color="auto"/>
      </w:divBdr>
    </w:div>
    <w:div w:id="275648513">
      <w:bodyDiv w:val="1"/>
      <w:marLeft w:val="0"/>
      <w:marRight w:val="0"/>
      <w:marTop w:val="0"/>
      <w:marBottom w:val="0"/>
      <w:divBdr>
        <w:top w:val="none" w:sz="0" w:space="0" w:color="auto"/>
        <w:left w:val="none" w:sz="0" w:space="0" w:color="auto"/>
        <w:bottom w:val="none" w:sz="0" w:space="0" w:color="auto"/>
        <w:right w:val="none" w:sz="0" w:space="0" w:color="auto"/>
      </w:divBdr>
    </w:div>
    <w:div w:id="495221634">
      <w:bodyDiv w:val="1"/>
      <w:marLeft w:val="0"/>
      <w:marRight w:val="0"/>
      <w:marTop w:val="0"/>
      <w:marBottom w:val="0"/>
      <w:divBdr>
        <w:top w:val="none" w:sz="0" w:space="0" w:color="auto"/>
        <w:left w:val="none" w:sz="0" w:space="0" w:color="auto"/>
        <w:bottom w:val="none" w:sz="0" w:space="0" w:color="auto"/>
        <w:right w:val="none" w:sz="0" w:space="0" w:color="auto"/>
      </w:divBdr>
    </w:div>
    <w:div w:id="680619071">
      <w:bodyDiv w:val="1"/>
      <w:marLeft w:val="0"/>
      <w:marRight w:val="0"/>
      <w:marTop w:val="0"/>
      <w:marBottom w:val="0"/>
      <w:divBdr>
        <w:top w:val="none" w:sz="0" w:space="0" w:color="auto"/>
        <w:left w:val="none" w:sz="0" w:space="0" w:color="auto"/>
        <w:bottom w:val="none" w:sz="0" w:space="0" w:color="auto"/>
        <w:right w:val="none" w:sz="0" w:space="0" w:color="auto"/>
      </w:divBdr>
    </w:div>
    <w:div w:id="712388936">
      <w:bodyDiv w:val="1"/>
      <w:marLeft w:val="0"/>
      <w:marRight w:val="0"/>
      <w:marTop w:val="0"/>
      <w:marBottom w:val="0"/>
      <w:divBdr>
        <w:top w:val="none" w:sz="0" w:space="0" w:color="auto"/>
        <w:left w:val="none" w:sz="0" w:space="0" w:color="auto"/>
        <w:bottom w:val="none" w:sz="0" w:space="0" w:color="auto"/>
        <w:right w:val="none" w:sz="0" w:space="0" w:color="auto"/>
      </w:divBdr>
    </w:div>
    <w:div w:id="810364197">
      <w:bodyDiv w:val="1"/>
      <w:marLeft w:val="0"/>
      <w:marRight w:val="0"/>
      <w:marTop w:val="0"/>
      <w:marBottom w:val="0"/>
      <w:divBdr>
        <w:top w:val="none" w:sz="0" w:space="0" w:color="auto"/>
        <w:left w:val="none" w:sz="0" w:space="0" w:color="auto"/>
        <w:bottom w:val="none" w:sz="0" w:space="0" w:color="auto"/>
        <w:right w:val="none" w:sz="0" w:space="0" w:color="auto"/>
      </w:divBdr>
    </w:div>
    <w:div w:id="1296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riere.kativik.qc.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kativik.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ynet\Desktop\Principal1617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7974-70CF-4C35-8B93-2169493B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Principal1617F</Template>
  <TotalTime>2</TotalTime>
  <Pages>1</Pages>
  <Words>493</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Katryne Tessier</dc:creator>
  <cp:lastModifiedBy>Vanessa Megali</cp:lastModifiedBy>
  <cp:revision>2</cp:revision>
  <cp:lastPrinted>2019-08-16T12:14:00Z</cp:lastPrinted>
  <dcterms:created xsi:type="dcterms:W3CDTF">2022-01-13T20:56:00Z</dcterms:created>
  <dcterms:modified xsi:type="dcterms:W3CDTF">2022-01-13T20:56:00Z</dcterms:modified>
</cp:coreProperties>
</file>